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19E0" w14:textId="10969068" w:rsidR="005F7D58" w:rsidRPr="000C6ECB" w:rsidRDefault="00BC7559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eastAsia="ja-JP"/>
        </w:rPr>
      </w:pPr>
      <w:r w:rsidRPr="000C6ECB">
        <w:rPr>
          <w:rFonts w:ascii="Arial" w:hAnsi="Arial" w:cs="Arial"/>
          <w:b/>
          <w:bCs/>
          <w:color w:val="26282A"/>
          <w:sz w:val="28"/>
          <w:szCs w:val="28"/>
          <w:shd w:val="clear" w:color="auto" w:fill="FFFFFF"/>
        </w:rPr>
        <w:t>Long-term effects (20 years) of cropping systems and nutrient management practices on grain yield of organically-grown basmati rice and soil fertility</w:t>
      </w:r>
      <w:r w:rsidR="005F7D58" w:rsidRPr="000C6ECB"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eastAsia="ja-JP"/>
        </w:rPr>
        <w:t xml:space="preserve"> </w:t>
      </w:r>
    </w:p>
    <w:p w14:paraId="7B2E9416" w14:textId="77777777" w:rsidR="00BC7559" w:rsidRPr="00BC7559" w:rsidRDefault="00BC7559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eastAsia="ja-JP"/>
        </w:rPr>
      </w:pPr>
    </w:p>
    <w:p w14:paraId="506F7BB0" w14:textId="38B3D9C4" w:rsidR="00EA4D02" w:rsidRPr="00BE6668" w:rsidRDefault="00BC7559" w:rsidP="00EA4D02">
      <w:pPr>
        <w:jc w:val="center"/>
        <w:rPr>
          <w:rFonts w:ascii="Arial" w:hAnsi="Arial" w:cs="Arial"/>
          <w:sz w:val="22"/>
          <w:szCs w:val="22"/>
        </w:rPr>
      </w:pPr>
      <w:r w:rsidRPr="00BE6668">
        <w:rPr>
          <w:rFonts w:ascii="Arial" w:hAnsi="Arial" w:cs="Arial"/>
          <w:color w:val="26282A"/>
          <w:sz w:val="22"/>
          <w:szCs w:val="22"/>
          <w:shd w:val="clear" w:color="auto" w:fill="FFFFFF"/>
        </w:rPr>
        <w:t>Dinesh Kumar</w:t>
      </w:r>
      <w:r w:rsidRPr="00BE6668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, </w:t>
      </w:r>
      <w:r w:rsidRPr="00BE6668">
        <w:rPr>
          <w:rFonts w:ascii="Arial" w:hAnsi="Arial" w:cs="Arial"/>
          <w:color w:val="26282A"/>
          <w:sz w:val="22"/>
          <w:szCs w:val="22"/>
          <w:shd w:val="clear" w:color="auto" w:fill="FFFFFF"/>
        </w:rPr>
        <w:t>Y.S. Shivay</w:t>
      </w:r>
    </w:p>
    <w:p w14:paraId="73E236BD" w14:textId="07DDEE20" w:rsidR="00BE6668" w:rsidRPr="003670DB" w:rsidRDefault="00BE6668" w:rsidP="00BE666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="MS Mincho" w:hAnsi="Arial" w:cs="Arial"/>
          <w:b w:val="0"/>
          <w:bCs w:val="0"/>
          <w:sz w:val="21"/>
          <w:szCs w:val="21"/>
          <w:lang w:eastAsia="ja-JP"/>
        </w:rPr>
      </w:pPr>
      <w:r w:rsidRPr="003670DB">
        <w:rPr>
          <w:rStyle w:val="cf01"/>
          <w:rFonts w:ascii="Arial" w:eastAsia="MS Mincho" w:hAnsi="Arial" w:cs="Arial"/>
          <w:b w:val="0"/>
          <w:bCs w:val="0"/>
          <w:sz w:val="21"/>
          <w:szCs w:val="21"/>
          <w:lang w:eastAsia="ja-JP"/>
        </w:rPr>
        <w:t>Division of Agronomy, ICAR-Indian Agricultural Research Institute, New Delhi</w:t>
      </w:r>
    </w:p>
    <w:p w14:paraId="4AC98DC7" w14:textId="3150D925" w:rsidR="0042052E" w:rsidRPr="00BC7559" w:rsidRDefault="0042052E" w:rsidP="00EA4D02">
      <w:pPr>
        <w:jc w:val="center"/>
        <w:rPr>
          <w:rFonts w:ascii="Arial" w:hAnsi="Arial" w:cs="Arial"/>
          <w:sz w:val="22"/>
        </w:rPr>
      </w:pPr>
    </w:p>
    <w:p w14:paraId="339AD16C" w14:textId="72B7E0CE" w:rsidR="00072CEC" w:rsidRPr="003670DB" w:rsidRDefault="00072CEC" w:rsidP="00072CEC">
      <w:pPr>
        <w:pStyle w:val="Style"/>
        <w:ind w:firstLine="720"/>
        <w:jc w:val="both"/>
        <w:rPr>
          <w:sz w:val="21"/>
          <w:szCs w:val="21"/>
        </w:rPr>
      </w:pPr>
      <w:r w:rsidRPr="003670DB">
        <w:rPr>
          <w:sz w:val="21"/>
          <w:szCs w:val="21"/>
        </w:rPr>
        <w:t xml:space="preserve">The soil fertility is rapidly declining in India, particularly the organic matter decline has become a serious issue. The conventional farming has also reduced the biodiversity and farmers’ income besides polluting the air, soil and water. Rice crop has largest cultivated area (43.5 million hectares) in </w:t>
      </w:r>
      <w:r w:rsidRPr="003670DB">
        <w:rPr>
          <w:sz w:val="21"/>
          <w:szCs w:val="21"/>
        </w:rPr>
        <w:t>In</w:t>
      </w:r>
      <w:r w:rsidRPr="003670DB">
        <w:rPr>
          <w:sz w:val="21"/>
          <w:szCs w:val="21"/>
        </w:rPr>
        <w:t>dia</w:t>
      </w:r>
      <w:r w:rsidRPr="003670DB">
        <w:rPr>
          <w:sz w:val="21"/>
          <w:szCs w:val="21"/>
        </w:rPr>
        <w:t xml:space="preserve"> </w:t>
      </w:r>
      <w:r w:rsidRPr="003670DB">
        <w:rPr>
          <w:sz w:val="21"/>
          <w:szCs w:val="21"/>
        </w:rPr>
        <w:t xml:space="preserve">among all the crops, being grown mostly by conventional methods. </w:t>
      </w:r>
      <w:r w:rsidR="004E70CC" w:rsidRPr="003670DB">
        <w:rPr>
          <w:sz w:val="21"/>
          <w:szCs w:val="21"/>
        </w:rPr>
        <w:t xml:space="preserve">The conventional rice production system has become unsustainable, and thus replacing it partly by organic production may sustain the production and soil fertility. In </w:t>
      </w:r>
      <w:r w:rsidRPr="003670DB">
        <w:rPr>
          <w:sz w:val="21"/>
          <w:szCs w:val="21"/>
        </w:rPr>
        <w:t>view of the above, this study evaluated the effect of including mungbean (</w:t>
      </w:r>
      <w:r w:rsidRPr="003670DB">
        <w:rPr>
          <w:i/>
          <w:sz w:val="21"/>
          <w:szCs w:val="21"/>
        </w:rPr>
        <w:t>Vigna radiata</w:t>
      </w:r>
      <w:r w:rsidRPr="003670DB">
        <w:rPr>
          <w:sz w:val="21"/>
          <w:szCs w:val="21"/>
        </w:rPr>
        <w:t xml:space="preserve"> L.) </w:t>
      </w:r>
      <w:r w:rsidR="004E70CC" w:rsidRPr="003670DB">
        <w:rPr>
          <w:sz w:val="21"/>
          <w:szCs w:val="21"/>
        </w:rPr>
        <w:t xml:space="preserve">and later </w:t>
      </w:r>
      <w:r w:rsidR="004E70CC" w:rsidRPr="003670DB">
        <w:rPr>
          <w:i/>
          <w:iCs/>
          <w:sz w:val="21"/>
          <w:szCs w:val="21"/>
        </w:rPr>
        <w:t>Sesbania</w:t>
      </w:r>
      <w:r w:rsidR="004E70CC" w:rsidRPr="003670DB">
        <w:rPr>
          <w:sz w:val="21"/>
          <w:szCs w:val="21"/>
        </w:rPr>
        <w:t xml:space="preserve"> </w:t>
      </w:r>
      <w:r w:rsidR="002F418B" w:rsidRPr="003670DB">
        <w:rPr>
          <w:sz w:val="21"/>
          <w:szCs w:val="21"/>
        </w:rPr>
        <w:t>(</w:t>
      </w:r>
      <w:r w:rsidR="002F418B" w:rsidRPr="003670DB">
        <w:rPr>
          <w:i/>
          <w:iCs/>
          <w:sz w:val="21"/>
          <w:szCs w:val="21"/>
        </w:rPr>
        <w:t xml:space="preserve">Sesbania </w:t>
      </w:r>
      <w:proofErr w:type="spellStart"/>
      <w:r w:rsidR="002F418B" w:rsidRPr="003670DB">
        <w:rPr>
          <w:i/>
          <w:iCs/>
          <w:sz w:val="21"/>
          <w:szCs w:val="21"/>
        </w:rPr>
        <w:t>aculeata</w:t>
      </w:r>
      <w:proofErr w:type="spellEnd"/>
      <w:r w:rsidR="002F418B" w:rsidRPr="003670DB">
        <w:rPr>
          <w:sz w:val="21"/>
          <w:szCs w:val="21"/>
        </w:rPr>
        <w:t xml:space="preserve">) </w:t>
      </w:r>
      <w:r w:rsidR="004E70CC" w:rsidRPr="003670DB">
        <w:rPr>
          <w:sz w:val="21"/>
          <w:szCs w:val="21"/>
        </w:rPr>
        <w:t xml:space="preserve">green manuring </w:t>
      </w:r>
      <w:r w:rsidRPr="003670DB">
        <w:rPr>
          <w:sz w:val="21"/>
          <w:szCs w:val="21"/>
        </w:rPr>
        <w:t xml:space="preserve">in </w:t>
      </w:r>
      <w:r w:rsidR="004E70CC" w:rsidRPr="003670DB">
        <w:rPr>
          <w:sz w:val="21"/>
          <w:szCs w:val="21"/>
        </w:rPr>
        <w:t xml:space="preserve">the </w:t>
      </w:r>
      <w:r w:rsidRPr="003670DB">
        <w:rPr>
          <w:sz w:val="21"/>
          <w:szCs w:val="21"/>
        </w:rPr>
        <w:t>rice-wheat cropping system and nutrient management practices on soil health</w:t>
      </w:r>
      <w:r w:rsidR="004E70CC" w:rsidRPr="003670DB">
        <w:rPr>
          <w:sz w:val="21"/>
          <w:szCs w:val="21"/>
        </w:rPr>
        <w:t xml:space="preserve"> and</w:t>
      </w:r>
      <w:r w:rsidRPr="003670DB">
        <w:rPr>
          <w:sz w:val="21"/>
          <w:szCs w:val="21"/>
        </w:rPr>
        <w:t xml:space="preserve"> productivity of rice crop. </w:t>
      </w:r>
    </w:p>
    <w:p w14:paraId="56F3E565" w14:textId="444F3DCA" w:rsidR="00E51BB4" w:rsidRPr="003670DB" w:rsidRDefault="004E70CC" w:rsidP="00E51BB4">
      <w:pPr>
        <w:ind w:firstLine="7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670DB">
        <w:rPr>
          <w:rFonts w:ascii="Times New Roman" w:hAnsi="Times New Roman" w:cs="Times New Roman"/>
          <w:sz w:val="21"/>
          <w:szCs w:val="21"/>
        </w:rPr>
        <w:t>The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long-term field experiment </w:t>
      </w:r>
      <w:r w:rsidRPr="003670DB">
        <w:rPr>
          <w:rFonts w:ascii="Times New Roman" w:hAnsi="Times New Roman" w:cs="Times New Roman"/>
          <w:sz w:val="21"/>
          <w:szCs w:val="21"/>
        </w:rPr>
        <w:t xml:space="preserve">(20 years) 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on organic farming of rice-based cropping systems was started in year 2003 and continued till </w:t>
      </w:r>
      <w:r w:rsidR="00E51BB4" w:rsidRPr="003670DB">
        <w:rPr>
          <w:rFonts w:ascii="Times New Roman" w:hAnsi="Times New Roman" w:cs="Times New Roman"/>
          <w:sz w:val="21"/>
          <w:szCs w:val="21"/>
        </w:rPr>
        <w:t>2023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at the ICAR-Indian Agricultural Research Institute, New Delhi, India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(Table 1)</w:t>
      </w:r>
      <w:r w:rsidR="00E51BB4" w:rsidRPr="003670DB">
        <w:rPr>
          <w:rFonts w:ascii="Times New Roman" w:hAnsi="Times New Roman" w:cs="Times New Roman"/>
          <w:sz w:val="21"/>
          <w:szCs w:val="21"/>
        </w:rPr>
        <w:t>. The experiment was laid out in a strip plot design with three replications. Treatments</w:t>
      </w:r>
      <w:r w:rsidR="00B06575" w:rsidRPr="003670DB">
        <w:rPr>
          <w:rFonts w:ascii="Times New Roman" w:hAnsi="Times New Roman" w:cs="Times New Roman"/>
          <w:sz w:val="21"/>
          <w:szCs w:val="21"/>
        </w:rPr>
        <w:t xml:space="preserve"> during first 10 years (2006-</w:t>
      </w:r>
      <w:r w:rsidR="00C72F4C" w:rsidRPr="003670DB">
        <w:rPr>
          <w:rFonts w:ascii="Times New Roman" w:hAnsi="Times New Roman" w:cs="Times New Roman"/>
          <w:sz w:val="21"/>
          <w:szCs w:val="21"/>
        </w:rPr>
        <w:t>0</w:t>
      </w:r>
      <w:r w:rsidR="00B06575" w:rsidRPr="003670DB">
        <w:rPr>
          <w:rFonts w:ascii="Times New Roman" w:hAnsi="Times New Roman" w:cs="Times New Roman"/>
          <w:sz w:val="21"/>
          <w:szCs w:val="21"/>
        </w:rPr>
        <w:t>7 to 2015-16</w:t>
      </w:r>
      <w:r w:rsidR="00072CEC" w:rsidRPr="003670DB">
        <w:rPr>
          <w:rFonts w:ascii="Times New Roman" w:hAnsi="Times New Roman" w:cs="Times New Roman"/>
          <w:sz w:val="21"/>
          <w:szCs w:val="21"/>
        </w:rPr>
        <w:t xml:space="preserve">) </w:t>
      </w:r>
      <w:r w:rsidR="00B06575" w:rsidRPr="003670DB">
        <w:rPr>
          <w:rFonts w:ascii="Times New Roman" w:hAnsi="Times New Roman" w:cs="Times New Roman"/>
          <w:sz w:val="21"/>
          <w:szCs w:val="21"/>
        </w:rPr>
        <w:t>co</w:t>
      </w:r>
      <w:r w:rsidR="00E51BB4" w:rsidRPr="003670DB">
        <w:rPr>
          <w:rFonts w:ascii="Times New Roman" w:hAnsi="Times New Roman" w:cs="Times New Roman"/>
          <w:sz w:val="21"/>
          <w:szCs w:val="21"/>
        </w:rPr>
        <w:t>nsisted of 2 rice-based cropping systems (rice-wheat and rice-wheat- mungbean), six combinations of different organic materials and biofertilizers [farmyard manure equivalent to 60 kg N ha</w:t>
      </w:r>
      <w:r w:rsidR="00E51BB4" w:rsidRPr="003670DB">
        <w:rPr>
          <w:rFonts w:ascii="Times New Roman" w:hAnsi="Times New Roman" w:cs="Times New Roman"/>
          <w:sz w:val="21"/>
          <w:szCs w:val="21"/>
          <w:vertAlign w:val="superscript"/>
        </w:rPr>
        <w:t>-1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(FYM), vermicompost equivalent to 60 kg N ha</w:t>
      </w:r>
      <w:r w:rsidR="00E51BB4" w:rsidRPr="003670DB">
        <w:rPr>
          <w:rFonts w:ascii="Times New Roman" w:hAnsi="Times New Roman" w:cs="Times New Roman"/>
          <w:sz w:val="21"/>
          <w:szCs w:val="21"/>
          <w:vertAlign w:val="superscript"/>
        </w:rPr>
        <w:t>-1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(VC), FYM + crop residue </w:t>
      </w:r>
      <w:r w:rsidR="00C72F4C" w:rsidRPr="003670DB">
        <w:rPr>
          <w:rFonts w:ascii="Times New Roman" w:hAnsi="Times New Roman" w:cs="Times New Roman"/>
          <w:sz w:val="21"/>
          <w:szCs w:val="21"/>
        </w:rPr>
        <w:t>(CR)</w:t>
      </w:r>
      <w:r w:rsidR="00C72F4C" w:rsidRPr="003670DB">
        <w:rPr>
          <w:rFonts w:ascii="Times New Roman" w:hAnsi="Times New Roman" w:cs="Times New Roman"/>
          <w:sz w:val="21"/>
          <w:szCs w:val="21"/>
        </w:rPr>
        <w:t xml:space="preserve"> </w:t>
      </w:r>
      <w:r w:rsidR="00E51BB4" w:rsidRPr="003670DB">
        <w:rPr>
          <w:rFonts w:ascii="Times New Roman" w:hAnsi="Times New Roman" w:cs="Times New Roman"/>
          <w:sz w:val="21"/>
          <w:szCs w:val="21"/>
        </w:rPr>
        <w:t>of preceding crop @ 3 t ha</w:t>
      </w:r>
      <w:r w:rsidR="00E51BB4" w:rsidRPr="003670DB">
        <w:rPr>
          <w:rFonts w:ascii="Times New Roman" w:hAnsi="Times New Roman" w:cs="Times New Roman"/>
          <w:sz w:val="21"/>
          <w:szCs w:val="21"/>
          <w:vertAlign w:val="superscript"/>
        </w:rPr>
        <w:t>-1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for each rice, wheat and mungbean, VC + CR, FYM + CR + biofertilizers and VC + CR + biofertilizers] and control (no </w:t>
      </w:r>
      <w:r w:rsidR="00C72F4C" w:rsidRPr="003670DB">
        <w:rPr>
          <w:rFonts w:ascii="Times New Roman" w:hAnsi="Times New Roman" w:cs="Times New Roman"/>
          <w:sz w:val="21"/>
          <w:szCs w:val="21"/>
        </w:rPr>
        <w:t>manure</w:t>
      </w:r>
      <w:r w:rsidR="00E51BB4" w:rsidRPr="003670DB">
        <w:rPr>
          <w:rFonts w:ascii="Times New Roman" w:hAnsi="Times New Roman" w:cs="Times New Roman"/>
          <w:sz w:val="21"/>
          <w:szCs w:val="21"/>
        </w:rPr>
        <w:t xml:space="preserve"> applied). </w:t>
      </w:r>
      <w:r w:rsidR="00E51BB4" w:rsidRPr="003670DB">
        <w:rPr>
          <w:rFonts w:ascii="Times New Roman" w:hAnsi="Times New Roman" w:cs="Times New Roman"/>
          <w:bCs/>
          <w:sz w:val="21"/>
          <w:szCs w:val="21"/>
        </w:rPr>
        <w:t xml:space="preserve">For biofertilizers, 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 xml:space="preserve">the </w:t>
      </w:r>
      <w:r w:rsidR="00E51BB4" w:rsidRPr="003670DB">
        <w:rPr>
          <w:rFonts w:ascii="Times New Roman" w:hAnsi="Times New Roman" w:cs="Times New Roman"/>
          <w:bCs/>
          <w:sz w:val="21"/>
          <w:szCs w:val="21"/>
        </w:rPr>
        <w:t xml:space="preserve">blue green algae (BGA), phosphate solubilizing bacteria (PSB) and cellulolytic culture used in rice, </w:t>
      </w:r>
      <w:r w:rsidR="00E51BB4" w:rsidRPr="003670DB">
        <w:rPr>
          <w:rFonts w:ascii="Times New Roman" w:hAnsi="Times New Roman" w:cs="Times New Roman"/>
          <w:bCs/>
          <w:i/>
          <w:iCs/>
          <w:sz w:val="21"/>
          <w:szCs w:val="21"/>
        </w:rPr>
        <w:t>Azotobacter</w:t>
      </w:r>
      <w:r w:rsidR="00E51BB4" w:rsidRPr="003670DB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2F418B" w:rsidRPr="003670DB">
        <w:rPr>
          <w:rFonts w:ascii="Times New Roman" w:hAnsi="Times New Roman" w:cs="Times New Roman"/>
          <w:bCs/>
          <w:sz w:val="21"/>
          <w:szCs w:val="21"/>
        </w:rPr>
        <w:t>phosphate solubilizing bacteria (</w:t>
      </w:r>
      <w:r w:rsidR="00E51BB4" w:rsidRPr="003670DB">
        <w:rPr>
          <w:rFonts w:ascii="Times New Roman" w:hAnsi="Times New Roman" w:cs="Times New Roman"/>
          <w:bCs/>
          <w:sz w:val="21"/>
          <w:szCs w:val="21"/>
        </w:rPr>
        <w:t>PSB</w:t>
      </w:r>
      <w:r w:rsidR="002F418B" w:rsidRPr="003670DB">
        <w:rPr>
          <w:rFonts w:ascii="Times New Roman" w:hAnsi="Times New Roman" w:cs="Times New Roman"/>
          <w:bCs/>
          <w:sz w:val="21"/>
          <w:szCs w:val="21"/>
        </w:rPr>
        <w:t>)</w:t>
      </w:r>
      <w:r w:rsidR="00E51BB4" w:rsidRPr="003670DB">
        <w:rPr>
          <w:rFonts w:ascii="Times New Roman" w:hAnsi="Times New Roman" w:cs="Times New Roman"/>
          <w:bCs/>
          <w:sz w:val="21"/>
          <w:szCs w:val="21"/>
        </w:rPr>
        <w:t xml:space="preserve"> and cellulolytic culture in wheat and </w:t>
      </w:r>
      <w:r w:rsidR="00E51BB4" w:rsidRPr="003670DB">
        <w:rPr>
          <w:rFonts w:ascii="Times New Roman" w:hAnsi="Times New Roman" w:cs="Times New Roman"/>
          <w:bCs/>
          <w:i/>
          <w:iCs/>
          <w:sz w:val="21"/>
          <w:szCs w:val="21"/>
        </w:rPr>
        <w:t>Rhizobium</w:t>
      </w:r>
      <w:r w:rsidR="00E51BB4" w:rsidRPr="003670DB">
        <w:rPr>
          <w:rFonts w:ascii="Times New Roman" w:hAnsi="Times New Roman" w:cs="Times New Roman"/>
          <w:bCs/>
          <w:sz w:val="21"/>
          <w:szCs w:val="21"/>
        </w:rPr>
        <w:t xml:space="preserve"> + PSB in mungbean. 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>Subsequently, d</w:t>
      </w:r>
      <w:r w:rsidR="00072CEC" w:rsidRPr="003670DB">
        <w:rPr>
          <w:rFonts w:ascii="Times New Roman" w:hAnsi="Times New Roman" w:cs="Times New Roman"/>
          <w:bCs/>
          <w:sz w:val="21"/>
          <w:szCs w:val="21"/>
        </w:rPr>
        <w:t>uring the years 2019-20 to 2022-23 (4 years), the rice based cropping systems were rice-wheat-mungbean and rice-wheat-</w:t>
      </w:r>
      <w:r w:rsidR="00072CEC" w:rsidRPr="003670DB">
        <w:rPr>
          <w:rFonts w:ascii="Times New Roman" w:hAnsi="Times New Roman" w:cs="Times New Roman"/>
          <w:bCs/>
          <w:i/>
          <w:iCs/>
          <w:sz w:val="21"/>
          <w:szCs w:val="21"/>
        </w:rPr>
        <w:t>Sesbania</w:t>
      </w:r>
      <w:r w:rsidR="00072CEC" w:rsidRPr="003670DB">
        <w:rPr>
          <w:rFonts w:ascii="Times New Roman" w:hAnsi="Times New Roman" w:cs="Times New Roman"/>
          <w:bCs/>
          <w:sz w:val="21"/>
          <w:szCs w:val="21"/>
        </w:rPr>
        <w:t xml:space="preserve"> green manuring (SGM), but the nutrient management options were 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 xml:space="preserve">the </w:t>
      </w:r>
      <w:r w:rsidR="00072CEC" w:rsidRPr="003670DB">
        <w:rPr>
          <w:rFonts w:ascii="Times New Roman" w:hAnsi="Times New Roman" w:cs="Times New Roman"/>
          <w:bCs/>
          <w:sz w:val="21"/>
          <w:szCs w:val="21"/>
        </w:rPr>
        <w:t xml:space="preserve">same as during the 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 xml:space="preserve">previous </w:t>
      </w:r>
      <w:r w:rsidR="00072CEC" w:rsidRPr="003670DB">
        <w:rPr>
          <w:rFonts w:ascii="Times New Roman" w:hAnsi="Times New Roman" w:cs="Times New Roman"/>
          <w:bCs/>
          <w:sz w:val="21"/>
          <w:szCs w:val="21"/>
        </w:rPr>
        <w:t xml:space="preserve">years 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>(</w:t>
      </w:r>
      <w:r w:rsidR="00072CEC" w:rsidRPr="003670DB">
        <w:rPr>
          <w:rFonts w:ascii="Times New Roman" w:hAnsi="Times New Roman" w:cs="Times New Roman"/>
          <w:bCs/>
          <w:sz w:val="21"/>
          <w:szCs w:val="21"/>
        </w:rPr>
        <w:t>2006-07 to 2015-16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>)</w:t>
      </w:r>
      <w:r w:rsidR="00072CEC" w:rsidRPr="003670DB">
        <w:rPr>
          <w:rFonts w:ascii="Times New Roman" w:hAnsi="Times New Roman" w:cs="Times New Roman"/>
          <w:bCs/>
          <w:sz w:val="21"/>
          <w:szCs w:val="21"/>
        </w:rPr>
        <w:t xml:space="preserve"> in the fixed plots. All the cultural and management practices were followed as recommended by the Government of India for organic crop production. The insect-pests and diseases were managed through </w:t>
      </w:r>
      <w:r w:rsidR="00C72F4C" w:rsidRPr="003670DB">
        <w:rPr>
          <w:rFonts w:ascii="Times New Roman" w:hAnsi="Times New Roman" w:cs="Times New Roman"/>
          <w:bCs/>
          <w:sz w:val="21"/>
          <w:szCs w:val="21"/>
        </w:rPr>
        <w:t>organic methods.</w:t>
      </w:r>
    </w:p>
    <w:p w14:paraId="057F2D6D" w14:textId="77777777" w:rsidR="00CD2E96" w:rsidRPr="003670DB" w:rsidRDefault="00CD2E96" w:rsidP="00CD2E96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B7B9CDB" w14:textId="1BD22445" w:rsidR="00CD2E96" w:rsidRPr="003670DB" w:rsidRDefault="00CD2E96" w:rsidP="00C72F4C">
      <w:pPr>
        <w:jc w:val="both"/>
        <w:rPr>
          <w:rFonts w:ascii="Times New Roman" w:hAnsi="Times New Roman" w:cs="Times New Roman"/>
          <w:sz w:val="21"/>
          <w:szCs w:val="21"/>
        </w:rPr>
      </w:pPr>
      <w:r w:rsidRPr="003670DB">
        <w:rPr>
          <w:rFonts w:ascii="Times New Roman" w:hAnsi="Times New Roman" w:cs="Times New Roman"/>
          <w:b/>
          <w:bCs/>
          <w:sz w:val="21"/>
          <w:szCs w:val="21"/>
        </w:rPr>
        <w:t>Table 1.</w:t>
      </w:r>
      <w:r w:rsidRPr="003670DB">
        <w:rPr>
          <w:rFonts w:ascii="Times New Roman" w:hAnsi="Times New Roman" w:cs="Times New Roman"/>
          <w:sz w:val="21"/>
          <w:szCs w:val="21"/>
        </w:rPr>
        <w:t xml:space="preserve"> </w:t>
      </w:r>
      <w:r w:rsidR="003670DB">
        <w:rPr>
          <w:rFonts w:ascii="Times New Roman" w:hAnsi="Times New Roman" w:cs="Times New Roman"/>
          <w:sz w:val="21"/>
          <w:szCs w:val="21"/>
        </w:rPr>
        <w:t>H</w:t>
      </w:r>
      <w:r w:rsidRPr="003670DB">
        <w:rPr>
          <w:rFonts w:ascii="Times New Roman" w:hAnsi="Times New Roman" w:cs="Times New Roman"/>
          <w:sz w:val="21"/>
          <w:szCs w:val="21"/>
        </w:rPr>
        <w:t xml:space="preserve">istory of </w:t>
      </w:r>
      <w:r w:rsidR="00C72F4C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 xml:space="preserve">long-term organic farming experiment (2001 – 2023) at </w:t>
      </w:r>
      <w:r w:rsidR="00C72F4C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>New Delhi, India</w:t>
      </w:r>
    </w:p>
    <w:tbl>
      <w:tblPr>
        <w:tblStyle w:val="TableGrid"/>
        <w:tblW w:w="8500" w:type="dxa"/>
        <w:tblLook w:val="0600" w:firstRow="0" w:lastRow="0" w:firstColumn="0" w:lastColumn="0" w:noHBand="1" w:noVBand="1"/>
      </w:tblPr>
      <w:tblGrid>
        <w:gridCol w:w="2122"/>
        <w:gridCol w:w="1559"/>
        <w:gridCol w:w="1417"/>
        <w:gridCol w:w="1560"/>
        <w:gridCol w:w="1842"/>
      </w:tblGrid>
      <w:tr w:rsidR="00CD2E96" w:rsidRPr="003670DB" w14:paraId="75D04A19" w14:textId="77777777" w:rsidTr="00072CEC">
        <w:trPr>
          <w:trHeight w:val="89"/>
        </w:trPr>
        <w:tc>
          <w:tcPr>
            <w:tcW w:w="2122" w:type="dxa"/>
            <w:hideMark/>
          </w:tcPr>
          <w:p w14:paraId="203D420C" w14:textId="77777777" w:rsidR="00CD2E96" w:rsidRPr="003670DB" w:rsidRDefault="00CD2E96" w:rsidP="00D26A6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Year </w:t>
            </w:r>
          </w:p>
        </w:tc>
        <w:tc>
          <w:tcPr>
            <w:tcW w:w="1559" w:type="dxa"/>
            <w:hideMark/>
          </w:tcPr>
          <w:p w14:paraId="691B7A95" w14:textId="77777777" w:rsidR="00CD2E96" w:rsidRPr="003670DB" w:rsidRDefault="00CD2E96" w:rsidP="00D26A6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Kharif</w:t>
            </w: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(rainy season)</w:t>
            </w:r>
          </w:p>
        </w:tc>
        <w:tc>
          <w:tcPr>
            <w:tcW w:w="1417" w:type="dxa"/>
            <w:hideMark/>
          </w:tcPr>
          <w:p w14:paraId="5E3A971F" w14:textId="77777777" w:rsidR="00CD2E96" w:rsidRPr="003670DB" w:rsidRDefault="00CD2E96" w:rsidP="00D26A6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Rabi</w:t>
            </w: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(winter season)</w:t>
            </w:r>
          </w:p>
        </w:tc>
        <w:tc>
          <w:tcPr>
            <w:tcW w:w="1560" w:type="dxa"/>
            <w:hideMark/>
          </w:tcPr>
          <w:p w14:paraId="08C456CF" w14:textId="77777777" w:rsidR="00CD2E96" w:rsidRPr="003670DB" w:rsidRDefault="00CD2E96" w:rsidP="00D26A6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Zaid</w:t>
            </w: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(summer season)</w:t>
            </w:r>
          </w:p>
        </w:tc>
        <w:tc>
          <w:tcPr>
            <w:tcW w:w="1842" w:type="dxa"/>
            <w:hideMark/>
          </w:tcPr>
          <w:p w14:paraId="6F42EECE" w14:textId="77777777" w:rsidR="00CD2E96" w:rsidRPr="003670DB" w:rsidRDefault="00CD2E96" w:rsidP="00D26A6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Remarks</w:t>
            </w:r>
          </w:p>
        </w:tc>
      </w:tr>
      <w:tr w:rsidR="00CD2E96" w:rsidRPr="003670DB" w14:paraId="35A710F3" w14:textId="77777777" w:rsidTr="00072CEC">
        <w:trPr>
          <w:trHeight w:val="78"/>
        </w:trPr>
        <w:tc>
          <w:tcPr>
            <w:tcW w:w="2122" w:type="dxa"/>
            <w:hideMark/>
          </w:tcPr>
          <w:p w14:paraId="52B78543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2001-03</w:t>
            </w:r>
          </w:p>
        </w:tc>
        <w:tc>
          <w:tcPr>
            <w:tcW w:w="1559" w:type="dxa"/>
            <w:hideMark/>
          </w:tcPr>
          <w:p w14:paraId="65802FA2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Basmati Rice </w:t>
            </w:r>
          </w:p>
        </w:tc>
        <w:tc>
          <w:tcPr>
            <w:tcW w:w="1417" w:type="dxa"/>
            <w:hideMark/>
          </w:tcPr>
          <w:p w14:paraId="01B040F5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Wheat </w:t>
            </w:r>
          </w:p>
        </w:tc>
        <w:tc>
          <w:tcPr>
            <w:tcW w:w="1560" w:type="dxa"/>
            <w:hideMark/>
          </w:tcPr>
          <w:p w14:paraId="61B8A815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2" w:type="dxa"/>
            <w:hideMark/>
          </w:tcPr>
          <w:p w14:paraId="04150680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Conventional farming</w:t>
            </w:r>
          </w:p>
        </w:tc>
      </w:tr>
      <w:tr w:rsidR="00CD2E96" w:rsidRPr="003670DB" w14:paraId="6B0E79AA" w14:textId="77777777" w:rsidTr="00072CEC">
        <w:trPr>
          <w:trHeight w:val="96"/>
        </w:trPr>
        <w:tc>
          <w:tcPr>
            <w:tcW w:w="2122" w:type="dxa"/>
            <w:hideMark/>
          </w:tcPr>
          <w:p w14:paraId="654219CF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2003–04 to 2004-05</w:t>
            </w:r>
          </w:p>
        </w:tc>
        <w:tc>
          <w:tcPr>
            <w:tcW w:w="1559" w:type="dxa"/>
            <w:hideMark/>
          </w:tcPr>
          <w:p w14:paraId="33E50ABE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Basmati Rice </w:t>
            </w:r>
          </w:p>
        </w:tc>
        <w:tc>
          <w:tcPr>
            <w:tcW w:w="1417" w:type="dxa"/>
            <w:hideMark/>
          </w:tcPr>
          <w:p w14:paraId="74D9EE1E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  <w:hideMark/>
          </w:tcPr>
          <w:p w14:paraId="6790DF98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1842" w:type="dxa"/>
            <w:hideMark/>
          </w:tcPr>
          <w:p w14:paraId="3BDEBD3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Transitional period</w:t>
            </w:r>
          </w:p>
        </w:tc>
      </w:tr>
      <w:tr w:rsidR="00CD2E96" w:rsidRPr="003670DB" w14:paraId="7188112A" w14:textId="77777777" w:rsidTr="00072CEC">
        <w:trPr>
          <w:trHeight w:val="99"/>
        </w:trPr>
        <w:tc>
          <w:tcPr>
            <w:tcW w:w="2122" w:type="dxa"/>
            <w:hideMark/>
          </w:tcPr>
          <w:p w14:paraId="255E6AEA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2004–05 to 2005-06</w:t>
            </w:r>
          </w:p>
        </w:tc>
        <w:tc>
          <w:tcPr>
            <w:tcW w:w="1559" w:type="dxa"/>
            <w:hideMark/>
          </w:tcPr>
          <w:p w14:paraId="32386C19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Basmati Rice </w:t>
            </w:r>
          </w:p>
        </w:tc>
        <w:tc>
          <w:tcPr>
            <w:tcW w:w="1417" w:type="dxa"/>
            <w:hideMark/>
          </w:tcPr>
          <w:p w14:paraId="3997D3C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  <w:hideMark/>
          </w:tcPr>
          <w:p w14:paraId="10A51559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1842" w:type="dxa"/>
            <w:hideMark/>
          </w:tcPr>
          <w:p w14:paraId="2830C1D0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Transitional period</w:t>
            </w:r>
          </w:p>
        </w:tc>
      </w:tr>
      <w:tr w:rsidR="00CD2E96" w:rsidRPr="003670DB" w14:paraId="5F7DFDAA" w14:textId="77777777" w:rsidTr="00072CEC">
        <w:trPr>
          <w:trHeight w:val="104"/>
        </w:trPr>
        <w:tc>
          <w:tcPr>
            <w:tcW w:w="2122" w:type="dxa"/>
            <w:hideMark/>
          </w:tcPr>
          <w:p w14:paraId="0C0778D7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2005–06 </w:t>
            </w:r>
          </w:p>
        </w:tc>
        <w:tc>
          <w:tcPr>
            <w:tcW w:w="1559" w:type="dxa"/>
            <w:hideMark/>
          </w:tcPr>
          <w:p w14:paraId="15B377E5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Basmati Rice</w:t>
            </w:r>
          </w:p>
          <w:p w14:paraId="210B50FA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Basmati Rice</w:t>
            </w:r>
          </w:p>
        </w:tc>
        <w:tc>
          <w:tcPr>
            <w:tcW w:w="1417" w:type="dxa"/>
            <w:hideMark/>
          </w:tcPr>
          <w:p w14:paraId="4A2E56EB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  <w:p w14:paraId="6EC955E0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  <w:hideMark/>
          </w:tcPr>
          <w:p w14:paraId="3CF070C8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  <w:p w14:paraId="6F236C9D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Mungbean</w:t>
            </w:r>
          </w:p>
        </w:tc>
        <w:tc>
          <w:tcPr>
            <w:tcW w:w="1842" w:type="dxa"/>
            <w:hideMark/>
          </w:tcPr>
          <w:p w14:paraId="3D0AB992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Transitional period</w:t>
            </w:r>
          </w:p>
        </w:tc>
      </w:tr>
      <w:tr w:rsidR="00CD2E96" w:rsidRPr="003670DB" w14:paraId="2E08E6A3" w14:textId="77777777" w:rsidTr="00072CEC">
        <w:trPr>
          <w:trHeight w:val="104"/>
        </w:trPr>
        <w:tc>
          <w:tcPr>
            <w:tcW w:w="2122" w:type="dxa"/>
          </w:tcPr>
          <w:p w14:paraId="7F79449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2006–07 to 2015-16</w:t>
            </w:r>
          </w:p>
        </w:tc>
        <w:tc>
          <w:tcPr>
            <w:tcW w:w="1559" w:type="dxa"/>
          </w:tcPr>
          <w:p w14:paraId="6A4A1D6A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Basmati Rice Basmati Rice</w:t>
            </w:r>
          </w:p>
        </w:tc>
        <w:tc>
          <w:tcPr>
            <w:tcW w:w="1417" w:type="dxa"/>
          </w:tcPr>
          <w:p w14:paraId="38575861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Wheat </w:t>
            </w:r>
          </w:p>
          <w:p w14:paraId="09E65829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</w:tcPr>
          <w:p w14:paraId="64D0C4FB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  <w:p w14:paraId="3821B1D8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Mungbean</w:t>
            </w:r>
          </w:p>
        </w:tc>
        <w:tc>
          <w:tcPr>
            <w:tcW w:w="1842" w:type="dxa"/>
          </w:tcPr>
          <w:p w14:paraId="7FB06B14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Theme="minorEastAsia" w:hAnsi="Times New Roman" w:cs="Times New Roman"/>
                <w:kern w:val="24"/>
                <w:sz w:val="21"/>
                <w:szCs w:val="21"/>
              </w:rPr>
              <w:t xml:space="preserve">*OF: </w:t>
            </w: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10 cycles completed</w:t>
            </w:r>
          </w:p>
        </w:tc>
      </w:tr>
      <w:tr w:rsidR="00CD2E96" w:rsidRPr="003670DB" w14:paraId="54564D6C" w14:textId="77777777" w:rsidTr="00072CEC">
        <w:trPr>
          <w:trHeight w:val="129"/>
        </w:trPr>
        <w:tc>
          <w:tcPr>
            <w:tcW w:w="2122" w:type="dxa"/>
            <w:hideMark/>
          </w:tcPr>
          <w:p w14:paraId="2684C52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2016-17 to 2017-18   </w:t>
            </w:r>
          </w:p>
        </w:tc>
        <w:tc>
          <w:tcPr>
            <w:tcW w:w="1559" w:type="dxa"/>
            <w:hideMark/>
          </w:tcPr>
          <w:p w14:paraId="4E8CE72D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Soybean</w:t>
            </w:r>
          </w:p>
          <w:p w14:paraId="0E8D7A0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Soybean</w:t>
            </w:r>
          </w:p>
        </w:tc>
        <w:tc>
          <w:tcPr>
            <w:tcW w:w="1417" w:type="dxa"/>
            <w:hideMark/>
          </w:tcPr>
          <w:p w14:paraId="648FE9E3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Wheat </w:t>
            </w:r>
          </w:p>
          <w:p w14:paraId="000C86E8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  <w:hideMark/>
          </w:tcPr>
          <w:p w14:paraId="7BA012C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Mungbean</w:t>
            </w:r>
          </w:p>
          <w:p w14:paraId="46FE15DF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SGM**</w:t>
            </w:r>
          </w:p>
        </w:tc>
        <w:tc>
          <w:tcPr>
            <w:tcW w:w="1842" w:type="dxa"/>
            <w:hideMark/>
          </w:tcPr>
          <w:p w14:paraId="1C99D392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*OF: 2 Cycles completed </w:t>
            </w:r>
          </w:p>
        </w:tc>
      </w:tr>
      <w:tr w:rsidR="00CD2E96" w:rsidRPr="003670DB" w14:paraId="14628604" w14:textId="77777777" w:rsidTr="00072CEC">
        <w:trPr>
          <w:trHeight w:val="70"/>
        </w:trPr>
        <w:tc>
          <w:tcPr>
            <w:tcW w:w="2122" w:type="dxa"/>
            <w:hideMark/>
          </w:tcPr>
          <w:p w14:paraId="0DE509B8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2018-19  </w:t>
            </w:r>
          </w:p>
        </w:tc>
        <w:tc>
          <w:tcPr>
            <w:tcW w:w="1559" w:type="dxa"/>
            <w:hideMark/>
          </w:tcPr>
          <w:p w14:paraId="26B29763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Maize </w:t>
            </w:r>
          </w:p>
          <w:p w14:paraId="2C6665A4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Maize</w:t>
            </w:r>
          </w:p>
        </w:tc>
        <w:tc>
          <w:tcPr>
            <w:tcW w:w="1417" w:type="dxa"/>
            <w:hideMark/>
          </w:tcPr>
          <w:p w14:paraId="6F5612A7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  <w:hideMark/>
          </w:tcPr>
          <w:p w14:paraId="541674D9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Mungbean </w:t>
            </w:r>
          </w:p>
          <w:p w14:paraId="7C8D7D1F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SGM**</w:t>
            </w:r>
          </w:p>
        </w:tc>
        <w:tc>
          <w:tcPr>
            <w:tcW w:w="1842" w:type="dxa"/>
            <w:hideMark/>
          </w:tcPr>
          <w:p w14:paraId="5B061BBA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*OF:1 Cycle completed </w:t>
            </w:r>
          </w:p>
        </w:tc>
      </w:tr>
      <w:tr w:rsidR="00CD2E96" w:rsidRPr="003670DB" w14:paraId="224922A0" w14:textId="77777777" w:rsidTr="00072CEC">
        <w:trPr>
          <w:trHeight w:val="70"/>
        </w:trPr>
        <w:tc>
          <w:tcPr>
            <w:tcW w:w="2122" w:type="dxa"/>
          </w:tcPr>
          <w:p w14:paraId="22BBF9F5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2019-20 to 2022-23</w:t>
            </w:r>
          </w:p>
        </w:tc>
        <w:tc>
          <w:tcPr>
            <w:tcW w:w="1559" w:type="dxa"/>
          </w:tcPr>
          <w:p w14:paraId="2070EFD1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Rice </w:t>
            </w:r>
          </w:p>
          <w:p w14:paraId="27ACE72A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Rice</w:t>
            </w:r>
          </w:p>
        </w:tc>
        <w:tc>
          <w:tcPr>
            <w:tcW w:w="1417" w:type="dxa"/>
          </w:tcPr>
          <w:p w14:paraId="2F2CFF9D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  <w:p w14:paraId="6C56FD34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Wheat</w:t>
            </w:r>
          </w:p>
        </w:tc>
        <w:tc>
          <w:tcPr>
            <w:tcW w:w="1560" w:type="dxa"/>
          </w:tcPr>
          <w:p w14:paraId="603CA58E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 xml:space="preserve">Mungbean </w:t>
            </w:r>
          </w:p>
          <w:p w14:paraId="11A8278F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SGM**</w:t>
            </w:r>
          </w:p>
        </w:tc>
        <w:tc>
          <w:tcPr>
            <w:tcW w:w="1842" w:type="dxa"/>
          </w:tcPr>
          <w:p w14:paraId="7B024CCC" w14:textId="77777777" w:rsidR="00CD2E96" w:rsidRPr="003670DB" w:rsidRDefault="00CD2E96" w:rsidP="00D2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*OF:4 Cycles completed</w:t>
            </w:r>
          </w:p>
        </w:tc>
      </w:tr>
    </w:tbl>
    <w:p w14:paraId="34C83D91" w14:textId="77777777" w:rsidR="004E70CC" w:rsidRPr="003670DB" w:rsidRDefault="00CD2E96" w:rsidP="004E70CC">
      <w:pPr>
        <w:rPr>
          <w:rFonts w:ascii="Times New Roman" w:hAnsi="Times New Roman" w:cs="Times New Roman"/>
          <w:sz w:val="21"/>
          <w:szCs w:val="21"/>
        </w:rPr>
      </w:pPr>
      <w:r w:rsidRPr="003670DB">
        <w:rPr>
          <w:rFonts w:ascii="Times New Roman" w:hAnsi="Times New Roman" w:cs="Times New Roman"/>
          <w:sz w:val="21"/>
          <w:szCs w:val="21"/>
        </w:rPr>
        <w:t xml:space="preserve">*Organic farming, **SGM: </w:t>
      </w:r>
      <w:r w:rsidRPr="003670DB">
        <w:rPr>
          <w:rFonts w:ascii="Times New Roman" w:hAnsi="Times New Roman" w:cs="Times New Roman"/>
          <w:i/>
          <w:iCs/>
          <w:sz w:val="21"/>
          <w:szCs w:val="21"/>
        </w:rPr>
        <w:t>Sesbania</w:t>
      </w:r>
      <w:r w:rsidRPr="003670DB">
        <w:rPr>
          <w:rFonts w:ascii="Times New Roman" w:hAnsi="Times New Roman" w:cs="Times New Roman"/>
          <w:sz w:val="21"/>
          <w:szCs w:val="21"/>
        </w:rPr>
        <w:t xml:space="preserve"> green manuring</w:t>
      </w:r>
    </w:p>
    <w:p w14:paraId="10CDF4F8" w14:textId="26CEE9A1" w:rsidR="00E51BB4" w:rsidRPr="003670DB" w:rsidRDefault="00E51BB4" w:rsidP="004E70CC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3670DB">
        <w:rPr>
          <w:rFonts w:ascii="Times New Roman" w:hAnsi="Times New Roman" w:cs="Times New Roman"/>
          <w:sz w:val="21"/>
          <w:szCs w:val="21"/>
        </w:rPr>
        <w:lastRenderedPageBreak/>
        <w:t xml:space="preserve">Averaged across </w:t>
      </w:r>
      <w:r w:rsidR="00464232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="004E70CC" w:rsidRPr="003670DB">
        <w:rPr>
          <w:rFonts w:ascii="Times New Roman" w:hAnsi="Times New Roman" w:cs="Times New Roman"/>
          <w:sz w:val="21"/>
          <w:szCs w:val="21"/>
        </w:rPr>
        <w:t>10</w:t>
      </w:r>
      <w:r w:rsidRPr="003670DB">
        <w:rPr>
          <w:rFonts w:ascii="Times New Roman" w:hAnsi="Times New Roman" w:cs="Times New Roman"/>
          <w:sz w:val="21"/>
          <w:szCs w:val="21"/>
        </w:rPr>
        <w:t xml:space="preserve"> years</w:t>
      </w:r>
      <w:r w:rsidR="009C1B57" w:rsidRPr="003670DB">
        <w:rPr>
          <w:rFonts w:ascii="Times New Roman" w:hAnsi="Times New Roman" w:cs="Times New Roman"/>
          <w:sz w:val="21"/>
          <w:szCs w:val="21"/>
        </w:rPr>
        <w:t xml:space="preserve"> (2006-07 to 2015-16)</w:t>
      </w:r>
      <w:r w:rsidRPr="003670DB">
        <w:rPr>
          <w:rFonts w:ascii="Times New Roman" w:hAnsi="Times New Roman" w:cs="Times New Roman"/>
          <w:sz w:val="21"/>
          <w:szCs w:val="21"/>
        </w:rPr>
        <w:t xml:space="preserve">, </w:t>
      </w:r>
      <w:r w:rsidR="004E70CC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 xml:space="preserve">rice-wheat- mungbean cropping system (RWMCS) produced </w:t>
      </w:r>
      <w:r w:rsidR="004E70CC" w:rsidRPr="003670DB">
        <w:rPr>
          <w:rFonts w:ascii="Times New Roman" w:hAnsi="Times New Roman" w:cs="Times New Roman"/>
          <w:sz w:val="21"/>
          <w:szCs w:val="21"/>
        </w:rPr>
        <w:t>about</w:t>
      </w:r>
      <w:r w:rsidRPr="003670DB">
        <w:rPr>
          <w:rFonts w:ascii="Times New Roman" w:hAnsi="Times New Roman" w:cs="Times New Roman"/>
          <w:sz w:val="21"/>
          <w:szCs w:val="21"/>
        </w:rPr>
        <w:t xml:space="preserve"> 13.0</w:t>
      </w:r>
      <w:r w:rsidR="004E70CC" w:rsidRPr="003670DB">
        <w:rPr>
          <w:rFonts w:ascii="Times New Roman" w:hAnsi="Times New Roman" w:cs="Times New Roman"/>
          <w:sz w:val="21"/>
          <w:szCs w:val="21"/>
        </w:rPr>
        <w:t xml:space="preserve"> </w:t>
      </w:r>
      <w:r w:rsidRPr="003670DB">
        <w:rPr>
          <w:rFonts w:ascii="Times New Roman" w:hAnsi="Times New Roman" w:cs="Times New Roman"/>
          <w:sz w:val="21"/>
          <w:szCs w:val="21"/>
        </w:rPr>
        <w:t xml:space="preserve">% higher grain yields of rice over </w:t>
      </w:r>
      <w:r w:rsidR="004E70CC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 xml:space="preserve">rice-wheat cropping system (RWCS) (Table </w:t>
      </w:r>
      <w:r w:rsidR="004E70CC" w:rsidRPr="003670DB">
        <w:rPr>
          <w:rFonts w:ascii="Times New Roman" w:hAnsi="Times New Roman" w:cs="Times New Roman"/>
          <w:sz w:val="21"/>
          <w:szCs w:val="21"/>
        </w:rPr>
        <w:t>2</w:t>
      </w:r>
      <w:r w:rsidRPr="003670DB">
        <w:rPr>
          <w:rFonts w:ascii="Times New Roman" w:hAnsi="Times New Roman" w:cs="Times New Roman"/>
          <w:sz w:val="21"/>
          <w:szCs w:val="21"/>
        </w:rPr>
        <w:t xml:space="preserve">). Levels of organic carbon, total N, available N, P, K and micronutrients increased significantly by inclusion of </w:t>
      </w:r>
      <w:r w:rsidR="00464232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 xml:space="preserve">mungbean in RWCS. RWMCS was more profitable over </w:t>
      </w:r>
      <w:r w:rsidR="00464232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 xml:space="preserve">RWCS. Increase in grain yields of rice and wheat crops was the most when biofertilizers and crop residues were combined either with farmyard manure (FYM) or vermicompost (VC). Application of vermicompost + crop residue + biofertilizers (BGA + cellulolytic culture + PSB in rice, </w:t>
      </w:r>
      <w:r w:rsidRPr="003670DB">
        <w:rPr>
          <w:rFonts w:ascii="Times New Roman" w:hAnsi="Times New Roman" w:cs="Times New Roman"/>
          <w:i/>
          <w:iCs/>
          <w:sz w:val="21"/>
          <w:szCs w:val="21"/>
        </w:rPr>
        <w:t xml:space="preserve">Azotobactor </w:t>
      </w:r>
      <w:r w:rsidRPr="003670DB">
        <w:rPr>
          <w:rFonts w:ascii="Times New Roman" w:hAnsi="Times New Roman" w:cs="Times New Roman"/>
          <w:sz w:val="21"/>
          <w:szCs w:val="21"/>
        </w:rPr>
        <w:t xml:space="preserve">+ cellulolytic culture + PSB in wheat, </w:t>
      </w:r>
      <w:r w:rsidRPr="003670DB">
        <w:rPr>
          <w:rFonts w:ascii="Times New Roman" w:hAnsi="Times New Roman" w:cs="Times New Roman"/>
          <w:i/>
          <w:iCs/>
          <w:sz w:val="21"/>
          <w:szCs w:val="21"/>
        </w:rPr>
        <w:t xml:space="preserve">Rhizobium </w:t>
      </w:r>
      <w:r w:rsidRPr="003670DB">
        <w:rPr>
          <w:rFonts w:ascii="Times New Roman" w:hAnsi="Times New Roman" w:cs="Times New Roman"/>
          <w:sz w:val="21"/>
          <w:szCs w:val="21"/>
        </w:rPr>
        <w:t xml:space="preserve">+ PSB in mungbean) was most productive and FYM + crop residue + biofertilizers was most profitable. Both these combinations also resulted in a significant improvement in </w:t>
      </w:r>
      <w:r w:rsidR="00464232" w:rsidRPr="003670DB">
        <w:rPr>
          <w:rFonts w:ascii="Times New Roman" w:hAnsi="Times New Roman" w:cs="Times New Roman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sz w:val="21"/>
          <w:szCs w:val="21"/>
        </w:rPr>
        <w:t xml:space="preserve">soil chemical and biological properties.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Levels of organic carbon increased significantl</w:t>
      </w:r>
      <w:r w:rsidRPr="003670DB">
        <w:rPr>
          <w:rFonts w:ascii="Times New Roman" w:hAnsi="Times New Roman" w:cs="Times New Roman"/>
          <w:color w:val="070707"/>
          <w:sz w:val="21"/>
          <w:szCs w:val="21"/>
        </w:rPr>
        <w:t xml:space="preserve">y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 xml:space="preserve">due to </w:t>
      </w:r>
      <w:r w:rsidR="00464232" w:rsidRPr="003670DB"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 xml:space="preserve">inclusion of mungbean in </w:t>
      </w:r>
      <w:r w:rsidR="00464232" w:rsidRPr="003670DB"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RWCS. Simultaneously</w:t>
      </w:r>
      <w:r w:rsidRPr="003670DB">
        <w:rPr>
          <w:rFonts w:ascii="Times New Roman" w:hAnsi="Times New Roman" w:cs="Times New Roman"/>
          <w:color w:val="212121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the soil microbiological properties</w:t>
      </w:r>
      <w:r w:rsidRPr="003670DB">
        <w:rPr>
          <w:rFonts w:ascii="Times New Roman" w:hAnsi="Times New Roman" w:cs="Times New Roman"/>
          <w:color w:val="212121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viz.</w:t>
      </w:r>
      <w:r w:rsidRPr="003670DB">
        <w:rPr>
          <w:rFonts w:ascii="Times New Roman" w:hAnsi="Times New Roman" w:cs="Times New Roman"/>
          <w:color w:val="212121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microbial biomass carbon</w:t>
      </w:r>
      <w:r w:rsidRPr="003670DB">
        <w:rPr>
          <w:rFonts w:ascii="Times New Roman" w:hAnsi="Times New Roman" w:cs="Times New Roman"/>
          <w:color w:val="070707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microbial biomass nitrogen and enzymatic (alkaline phosphatase</w:t>
      </w:r>
      <w:r w:rsidRPr="003670DB">
        <w:rPr>
          <w:rFonts w:ascii="Times New Roman" w:hAnsi="Times New Roman" w:cs="Times New Roman"/>
          <w:color w:val="212121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acid phosphatase, dehydrogenase</w:t>
      </w:r>
      <w:r w:rsidRPr="003670DB">
        <w:rPr>
          <w:rFonts w:ascii="Times New Roman" w:hAnsi="Times New Roman" w:cs="Times New Roman"/>
          <w:color w:val="212121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glucosidase</w:t>
      </w:r>
      <w:r w:rsidRPr="003670DB">
        <w:rPr>
          <w:rFonts w:ascii="Times New Roman" w:hAnsi="Times New Roman" w:cs="Times New Roman"/>
          <w:color w:val="070707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FDA hydrol</w:t>
      </w:r>
      <w:r w:rsidRPr="003670DB">
        <w:rPr>
          <w:rFonts w:ascii="Times New Roman" w:hAnsi="Times New Roman" w:cs="Times New Roman"/>
          <w:color w:val="070707"/>
          <w:sz w:val="21"/>
          <w:szCs w:val="21"/>
        </w:rPr>
        <w:t>y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sis</w:t>
      </w:r>
      <w:r w:rsidRPr="003670DB">
        <w:rPr>
          <w:rFonts w:ascii="Times New Roman" w:hAnsi="Times New Roman" w:cs="Times New Roman"/>
          <w:color w:val="212121"/>
          <w:sz w:val="21"/>
          <w:szCs w:val="21"/>
        </w:rPr>
        <w:t xml:space="preserve">,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etc.) acti</w:t>
      </w:r>
      <w:r w:rsidRPr="003670DB">
        <w:rPr>
          <w:rFonts w:ascii="Times New Roman" w:hAnsi="Times New Roman" w:cs="Times New Roman"/>
          <w:color w:val="070707"/>
          <w:sz w:val="21"/>
          <w:szCs w:val="21"/>
        </w:rPr>
        <w:t>v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>ities were also significantl</w:t>
      </w:r>
      <w:r w:rsidRPr="003670DB">
        <w:rPr>
          <w:rFonts w:ascii="Times New Roman" w:hAnsi="Times New Roman" w:cs="Times New Roman"/>
          <w:color w:val="070707"/>
          <w:sz w:val="21"/>
          <w:szCs w:val="21"/>
        </w:rPr>
        <w:t xml:space="preserve">y </w:t>
      </w:r>
      <w:r w:rsidRPr="003670DB">
        <w:rPr>
          <w:rFonts w:ascii="Times New Roman" w:hAnsi="Times New Roman" w:cs="Times New Roman"/>
          <w:color w:val="000000"/>
          <w:sz w:val="21"/>
          <w:szCs w:val="21"/>
        </w:rPr>
        <w:t xml:space="preserve">higher in soils of RWMCS than in RWCS. All the nutrient management practices increased the SOM contents substantially over the control. </w:t>
      </w:r>
    </w:p>
    <w:p w14:paraId="040C908D" w14:textId="77777777" w:rsidR="00E10A60" w:rsidRPr="003670DB" w:rsidRDefault="00E10A60" w:rsidP="00E51BB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1A98463" w14:textId="7C1D1DC9" w:rsidR="00E51BB4" w:rsidRPr="003670DB" w:rsidRDefault="00E51BB4" w:rsidP="00E51BB4">
      <w:pPr>
        <w:jc w:val="both"/>
        <w:rPr>
          <w:rFonts w:ascii="Times New Roman" w:hAnsi="Times New Roman" w:cs="Times New Roman"/>
          <w:sz w:val="21"/>
          <w:szCs w:val="21"/>
        </w:rPr>
      </w:pPr>
      <w:r w:rsidRPr="003670DB">
        <w:rPr>
          <w:rFonts w:ascii="Times New Roman" w:hAnsi="Times New Roman" w:cs="Times New Roman"/>
          <w:b/>
          <w:sz w:val="21"/>
          <w:szCs w:val="21"/>
        </w:rPr>
        <w:t xml:space="preserve">Table </w:t>
      </w:r>
      <w:r w:rsidR="004E70CC" w:rsidRPr="003670DB">
        <w:rPr>
          <w:rFonts w:ascii="Times New Roman" w:hAnsi="Times New Roman" w:cs="Times New Roman"/>
          <w:b/>
          <w:sz w:val="21"/>
          <w:szCs w:val="21"/>
        </w:rPr>
        <w:t>2</w:t>
      </w:r>
      <w:r w:rsidRPr="003670DB">
        <w:rPr>
          <w:rFonts w:ascii="Times New Roman" w:hAnsi="Times New Roman" w:cs="Times New Roman"/>
          <w:b/>
          <w:sz w:val="21"/>
          <w:szCs w:val="21"/>
        </w:rPr>
        <w:t>.</w:t>
      </w:r>
      <w:r w:rsidRPr="003670DB">
        <w:rPr>
          <w:rFonts w:ascii="Times New Roman" w:hAnsi="Times New Roman" w:cs="Times New Roman"/>
          <w:sz w:val="21"/>
          <w:szCs w:val="21"/>
        </w:rPr>
        <w:t xml:space="preserve"> Mean grain yield of </w:t>
      </w:r>
      <w:r w:rsidR="00CD2E96" w:rsidRPr="003670DB">
        <w:rPr>
          <w:rFonts w:ascii="Times New Roman" w:hAnsi="Times New Roman" w:cs="Times New Roman"/>
          <w:sz w:val="21"/>
          <w:szCs w:val="21"/>
        </w:rPr>
        <w:t xml:space="preserve">organically-grown basmati </w:t>
      </w:r>
      <w:r w:rsidRPr="003670DB">
        <w:rPr>
          <w:rFonts w:ascii="Times New Roman" w:hAnsi="Times New Roman" w:cs="Times New Roman"/>
          <w:sz w:val="21"/>
          <w:szCs w:val="21"/>
        </w:rPr>
        <w:t>rice</w:t>
      </w:r>
      <w:r w:rsidR="00CD2E96" w:rsidRPr="003670DB">
        <w:rPr>
          <w:rFonts w:ascii="Times New Roman" w:hAnsi="Times New Roman" w:cs="Times New Roman"/>
          <w:sz w:val="21"/>
          <w:szCs w:val="21"/>
        </w:rPr>
        <w:t xml:space="preserve"> </w:t>
      </w:r>
      <w:r w:rsidR="003712A4" w:rsidRPr="003670DB">
        <w:rPr>
          <w:rFonts w:ascii="Times New Roman" w:hAnsi="Times New Roman" w:cs="Times New Roman"/>
          <w:sz w:val="21"/>
          <w:szCs w:val="21"/>
        </w:rPr>
        <w:t xml:space="preserve">(t/ha) </w:t>
      </w:r>
      <w:r w:rsidR="00CD2E96" w:rsidRPr="003670DB">
        <w:rPr>
          <w:rFonts w:ascii="Times New Roman" w:hAnsi="Times New Roman" w:cs="Times New Roman"/>
          <w:sz w:val="21"/>
          <w:szCs w:val="21"/>
        </w:rPr>
        <w:t>across the nutrient management options in two different cropping systems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405"/>
        <w:gridCol w:w="3047"/>
        <w:gridCol w:w="3048"/>
      </w:tblGrid>
      <w:tr w:rsidR="00CD2E96" w:rsidRPr="003670DB" w14:paraId="286D6432" w14:textId="77777777" w:rsidTr="00482EDC">
        <w:trPr>
          <w:trHeight w:val="70"/>
        </w:trPr>
        <w:tc>
          <w:tcPr>
            <w:tcW w:w="2405" w:type="dxa"/>
          </w:tcPr>
          <w:p w14:paraId="11566B5F" w14:textId="5EFA331B" w:rsidR="00CD2E96" w:rsidRPr="003670DB" w:rsidRDefault="00CD2E96" w:rsidP="00D26A6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Year</w:t>
            </w:r>
            <w:r w:rsidR="00482EDC"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/ cropping system</w:t>
            </w:r>
          </w:p>
        </w:tc>
        <w:tc>
          <w:tcPr>
            <w:tcW w:w="3047" w:type="dxa"/>
          </w:tcPr>
          <w:p w14:paraId="3B61D090" w14:textId="7171FD5F" w:rsidR="00CD2E96" w:rsidRPr="003670DB" w:rsidRDefault="00CD2E96" w:rsidP="003712A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Rice-Wheat </w:t>
            </w:r>
            <w:r w:rsidR="003712A4"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Cropping System (RWCS)</w:t>
            </w:r>
          </w:p>
        </w:tc>
        <w:tc>
          <w:tcPr>
            <w:tcW w:w="3048" w:type="dxa"/>
          </w:tcPr>
          <w:p w14:paraId="16C7C100" w14:textId="5CEC91BF" w:rsidR="00CD2E96" w:rsidRPr="003670DB" w:rsidRDefault="00CD2E96" w:rsidP="003712A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Rice-Wheat-Mungbean </w:t>
            </w:r>
            <w:r w:rsidR="003712A4" w:rsidRPr="003670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Cropping System (RWMCS)</w:t>
            </w:r>
          </w:p>
        </w:tc>
      </w:tr>
      <w:tr w:rsidR="00CD2E96" w:rsidRPr="003670DB" w14:paraId="5298B76D" w14:textId="77777777" w:rsidTr="00482EDC">
        <w:trPr>
          <w:trHeight w:val="70"/>
        </w:trPr>
        <w:tc>
          <w:tcPr>
            <w:tcW w:w="2405" w:type="dxa"/>
          </w:tcPr>
          <w:p w14:paraId="72CA99FB" w14:textId="77777777" w:rsidR="00CD2E96" w:rsidRPr="003670DB" w:rsidRDefault="00CD2E96" w:rsidP="00DF7C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2006-07</w:t>
            </w:r>
          </w:p>
        </w:tc>
        <w:tc>
          <w:tcPr>
            <w:tcW w:w="3047" w:type="dxa"/>
          </w:tcPr>
          <w:p w14:paraId="61822678" w14:textId="77777777" w:rsidR="00CD2E96" w:rsidRPr="003670DB" w:rsidRDefault="00CD2E96" w:rsidP="00DF7C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4.26</w:t>
            </w:r>
          </w:p>
        </w:tc>
        <w:tc>
          <w:tcPr>
            <w:tcW w:w="3048" w:type="dxa"/>
          </w:tcPr>
          <w:p w14:paraId="45DF82DA" w14:textId="77777777" w:rsidR="00CD2E96" w:rsidRPr="003670DB" w:rsidRDefault="00CD2E96" w:rsidP="00DF7C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4.55</w:t>
            </w:r>
          </w:p>
        </w:tc>
      </w:tr>
      <w:tr w:rsidR="00CD2E96" w:rsidRPr="003670DB" w14:paraId="28A83506" w14:textId="77777777" w:rsidTr="00482EDC">
        <w:tc>
          <w:tcPr>
            <w:tcW w:w="2405" w:type="dxa"/>
          </w:tcPr>
          <w:p w14:paraId="4638C735" w14:textId="3ED3946D" w:rsidR="00CD2E96" w:rsidRPr="003670DB" w:rsidRDefault="00CD2E96" w:rsidP="00CD2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2007-08</w:t>
            </w:r>
          </w:p>
        </w:tc>
        <w:tc>
          <w:tcPr>
            <w:tcW w:w="3047" w:type="dxa"/>
          </w:tcPr>
          <w:p w14:paraId="0B3F0803" w14:textId="55F1E98C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4.51</w:t>
            </w:r>
          </w:p>
        </w:tc>
        <w:tc>
          <w:tcPr>
            <w:tcW w:w="3048" w:type="dxa"/>
          </w:tcPr>
          <w:p w14:paraId="619AD6EB" w14:textId="5EDF106D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4.91</w:t>
            </w:r>
          </w:p>
        </w:tc>
      </w:tr>
      <w:tr w:rsidR="00CD2E96" w:rsidRPr="003670DB" w14:paraId="36A90E01" w14:textId="77777777" w:rsidTr="00482EDC">
        <w:tc>
          <w:tcPr>
            <w:tcW w:w="2405" w:type="dxa"/>
          </w:tcPr>
          <w:p w14:paraId="3E5B70C9" w14:textId="77777777" w:rsidR="00CD2E96" w:rsidRPr="003670DB" w:rsidRDefault="00CD2E96" w:rsidP="00CD2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2008-09</w:t>
            </w:r>
          </w:p>
        </w:tc>
        <w:tc>
          <w:tcPr>
            <w:tcW w:w="3047" w:type="dxa"/>
          </w:tcPr>
          <w:p w14:paraId="55029201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4.30</w:t>
            </w:r>
          </w:p>
        </w:tc>
        <w:tc>
          <w:tcPr>
            <w:tcW w:w="3048" w:type="dxa"/>
          </w:tcPr>
          <w:p w14:paraId="5D5016D6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4.60</w:t>
            </w:r>
          </w:p>
        </w:tc>
      </w:tr>
      <w:tr w:rsidR="00CD2E96" w:rsidRPr="003670DB" w14:paraId="51702630" w14:textId="77777777" w:rsidTr="00482EDC">
        <w:tc>
          <w:tcPr>
            <w:tcW w:w="2405" w:type="dxa"/>
          </w:tcPr>
          <w:p w14:paraId="0E8B1681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2009-10</w:t>
            </w:r>
          </w:p>
        </w:tc>
        <w:tc>
          <w:tcPr>
            <w:tcW w:w="3047" w:type="dxa"/>
          </w:tcPr>
          <w:p w14:paraId="08EB1A0D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3.94</w:t>
            </w:r>
          </w:p>
        </w:tc>
        <w:tc>
          <w:tcPr>
            <w:tcW w:w="3048" w:type="dxa"/>
          </w:tcPr>
          <w:p w14:paraId="655EBEC5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5.10</w:t>
            </w:r>
          </w:p>
        </w:tc>
      </w:tr>
      <w:tr w:rsidR="00CD2E96" w:rsidRPr="003670DB" w14:paraId="6938D48D" w14:textId="77777777" w:rsidTr="00482EDC">
        <w:tc>
          <w:tcPr>
            <w:tcW w:w="2405" w:type="dxa"/>
          </w:tcPr>
          <w:p w14:paraId="5675EA22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2010-11</w:t>
            </w:r>
          </w:p>
        </w:tc>
        <w:tc>
          <w:tcPr>
            <w:tcW w:w="3047" w:type="dxa"/>
          </w:tcPr>
          <w:p w14:paraId="04A40D5F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4.49</w:t>
            </w:r>
          </w:p>
        </w:tc>
        <w:tc>
          <w:tcPr>
            <w:tcW w:w="3048" w:type="dxa"/>
          </w:tcPr>
          <w:p w14:paraId="4B290DAF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5.18</w:t>
            </w:r>
          </w:p>
        </w:tc>
      </w:tr>
      <w:tr w:rsidR="00CD2E96" w:rsidRPr="003670DB" w14:paraId="61C87CB9" w14:textId="77777777" w:rsidTr="00482EDC">
        <w:tc>
          <w:tcPr>
            <w:tcW w:w="2405" w:type="dxa"/>
          </w:tcPr>
          <w:p w14:paraId="443F1158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2011-12</w:t>
            </w:r>
          </w:p>
        </w:tc>
        <w:tc>
          <w:tcPr>
            <w:tcW w:w="3047" w:type="dxa"/>
          </w:tcPr>
          <w:p w14:paraId="42893AEE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3.71</w:t>
            </w:r>
          </w:p>
        </w:tc>
        <w:tc>
          <w:tcPr>
            <w:tcW w:w="3048" w:type="dxa"/>
          </w:tcPr>
          <w:p w14:paraId="3D559BFE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4.08</w:t>
            </w:r>
          </w:p>
        </w:tc>
      </w:tr>
      <w:tr w:rsidR="00CD2E96" w:rsidRPr="003670DB" w14:paraId="64B57FDD" w14:textId="77777777" w:rsidTr="00482EDC">
        <w:tc>
          <w:tcPr>
            <w:tcW w:w="2405" w:type="dxa"/>
          </w:tcPr>
          <w:p w14:paraId="6365A1AB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2012-13</w:t>
            </w:r>
          </w:p>
        </w:tc>
        <w:tc>
          <w:tcPr>
            <w:tcW w:w="3047" w:type="dxa"/>
          </w:tcPr>
          <w:p w14:paraId="4CF7FC81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3.88</w:t>
            </w:r>
          </w:p>
        </w:tc>
        <w:tc>
          <w:tcPr>
            <w:tcW w:w="3048" w:type="dxa"/>
          </w:tcPr>
          <w:p w14:paraId="0F6028D8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4.33</w:t>
            </w:r>
          </w:p>
        </w:tc>
      </w:tr>
      <w:tr w:rsidR="00CD2E96" w:rsidRPr="003670DB" w14:paraId="1D77EE73" w14:textId="77777777" w:rsidTr="00482EDC">
        <w:tc>
          <w:tcPr>
            <w:tcW w:w="2405" w:type="dxa"/>
          </w:tcPr>
          <w:p w14:paraId="21F72265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2013-14</w:t>
            </w:r>
          </w:p>
        </w:tc>
        <w:tc>
          <w:tcPr>
            <w:tcW w:w="3047" w:type="dxa"/>
          </w:tcPr>
          <w:p w14:paraId="20EF3FC1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4.11</w:t>
            </w:r>
          </w:p>
        </w:tc>
        <w:tc>
          <w:tcPr>
            <w:tcW w:w="3048" w:type="dxa"/>
          </w:tcPr>
          <w:p w14:paraId="458AEB8E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4.59</w:t>
            </w:r>
          </w:p>
        </w:tc>
      </w:tr>
      <w:tr w:rsidR="00CD2E96" w:rsidRPr="003670DB" w14:paraId="2EF623C9" w14:textId="77777777" w:rsidTr="00482EDC">
        <w:tc>
          <w:tcPr>
            <w:tcW w:w="2405" w:type="dxa"/>
          </w:tcPr>
          <w:p w14:paraId="1D037EF5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2014-15</w:t>
            </w:r>
          </w:p>
        </w:tc>
        <w:tc>
          <w:tcPr>
            <w:tcW w:w="3047" w:type="dxa"/>
          </w:tcPr>
          <w:p w14:paraId="2A2A33EE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3.89</w:t>
            </w:r>
          </w:p>
        </w:tc>
        <w:tc>
          <w:tcPr>
            <w:tcW w:w="3048" w:type="dxa"/>
          </w:tcPr>
          <w:p w14:paraId="0C0E133E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4.62</w:t>
            </w:r>
          </w:p>
        </w:tc>
      </w:tr>
      <w:tr w:rsidR="00CD2E96" w:rsidRPr="003670DB" w14:paraId="27F9A739" w14:textId="77777777" w:rsidTr="00482EDC">
        <w:tc>
          <w:tcPr>
            <w:tcW w:w="2405" w:type="dxa"/>
          </w:tcPr>
          <w:p w14:paraId="33C7AFC9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2015-16</w:t>
            </w:r>
          </w:p>
        </w:tc>
        <w:tc>
          <w:tcPr>
            <w:tcW w:w="3047" w:type="dxa"/>
          </w:tcPr>
          <w:p w14:paraId="0EAF7CBA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3.93</w:t>
            </w:r>
          </w:p>
        </w:tc>
        <w:tc>
          <w:tcPr>
            <w:tcW w:w="3048" w:type="dxa"/>
          </w:tcPr>
          <w:p w14:paraId="0D83F0A5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4.81</w:t>
            </w:r>
          </w:p>
        </w:tc>
      </w:tr>
      <w:tr w:rsidR="00CD2E96" w:rsidRPr="003670DB" w14:paraId="48C532D2" w14:textId="77777777" w:rsidTr="00482EDC">
        <w:tc>
          <w:tcPr>
            <w:tcW w:w="2405" w:type="dxa"/>
          </w:tcPr>
          <w:p w14:paraId="2F90EDC1" w14:textId="77777777" w:rsidR="00CD2E96" w:rsidRPr="003670DB" w:rsidRDefault="00CD2E96" w:rsidP="00CD2E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eastAsia="Times New Roman" w:hAnsi="Times New Roman" w:cs="Times New Roman"/>
                <w:sz w:val="21"/>
                <w:szCs w:val="21"/>
              </w:rPr>
              <w:t>Mean</w:t>
            </w:r>
          </w:p>
        </w:tc>
        <w:tc>
          <w:tcPr>
            <w:tcW w:w="3047" w:type="dxa"/>
          </w:tcPr>
          <w:p w14:paraId="65FDD9DB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4.10</w:t>
            </w:r>
          </w:p>
        </w:tc>
        <w:tc>
          <w:tcPr>
            <w:tcW w:w="3048" w:type="dxa"/>
          </w:tcPr>
          <w:p w14:paraId="7F124ACE" w14:textId="77777777" w:rsidR="00CD2E96" w:rsidRPr="003670DB" w:rsidRDefault="00CD2E96" w:rsidP="00CD2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0DB">
              <w:rPr>
                <w:rFonts w:ascii="Times New Roman" w:hAnsi="Times New Roman" w:cs="Times New Roman"/>
                <w:sz w:val="21"/>
                <w:szCs w:val="21"/>
              </w:rPr>
              <w:t>4.68</w:t>
            </w:r>
          </w:p>
        </w:tc>
      </w:tr>
    </w:tbl>
    <w:p w14:paraId="6B5E9132" w14:textId="7A763FFF" w:rsidR="003712A4" w:rsidRPr="003670DB" w:rsidRDefault="009C1B57" w:rsidP="003670DB">
      <w:pPr>
        <w:jc w:val="both"/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</w:pP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ab/>
        <w:t xml:space="preserve">The mean grain yield of organic rice during the last 4 years (2019-20 to 2020-21) were significantly higher </w:t>
      </w:r>
      <w:r w:rsidR="00812AF6"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(Fig.1) 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>in the rice-wheat-</w:t>
      </w:r>
      <w:r w:rsidRPr="003670DB">
        <w:rPr>
          <w:rFonts w:ascii="Times New Roman" w:hAnsi="Times New Roman" w:cs="Times New Roman"/>
          <w:i/>
          <w:iCs/>
          <w:noProof/>
          <w:sz w:val="21"/>
          <w:szCs w:val="21"/>
          <w:lang w:val="en-IN" w:eastAsia="en-IN" w:bidi="hi-IN"/>
        </w:rPr>
        <w:t>Sesbania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 green manuring cropping system (RWSCS) over the rice-wheat-mungbean cropping system (RWMCS).</w:t>
      </w:r>
      <w:r w:rsidR="00812AF6"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 </w:t>
      </w:r>
    </w:p>
    <w:p w14:paraId="0D1F87B8" w14:textId="338C7E0B" w:rsidR="004E70CC" w:rsidRPr="003670DB" w:rsidRDefault="00E10A60" w:rsidP="00B0657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drawing>
          <wp:inline distT="0" distB="0" distL="0" distR="0" wp14:anchorId="2FCC496F" wp14:editId="219B8959">
            <wp:extent cx="5095875" cy="26670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307D97" w14:textId="524EC952" w:rsidR="00B06575" w:rsidRPr="003670DB" w:rsidRDefault="00B06575" w:rsidP="00B06575">
      <w:pPr>
        <w:jc w:val="center"/>
        <w:rPr>
          <w:rFonts w:ascii="Times New Roman" w:hAnsi="Times New Roman" w:cs="Times New Roman"/>
          <w:sz w:val="21"/>
          <w:szCs w:val="21"/>
        </w:rPr>
      </w:pPr>
      <w:r w:rsidRPr="003670DB">
        <w:rPr>
          <w:rFonts w:ascii="Times New Roman" w:hAnsi="Times New Roman" w:cs="Times New Roman"/>
          <w:sz w:val="21"/>
          <w:szCs w:val="21"/>
        </w:rPr>
        <w:t xml:space="preserve">*SGM: </w:t>
      </w:r>
      <w:r w:rsidRPr="003670DB">
        <w:rPr>
          <w:rFonts w:ascii="Times New Roman" w:hAnsi="Times New Roman" w:cs="Times New Roman"/>
          <w:i/>
          <w:iCs/>
          <w:sz w:val="21"/>
          <w:szCs w:val="21"/>
        </w:rPr>
        <w:t>Sesbania</w:t>
      </w:r>
      <w:r w:rsidRPr="003670DB">
        <w:rPr>
          <w:rFonts w:ascii="Times New Roman" w:hAnsi="Times New Roman" w:cs="Times New Roman"/>
          <w:sz w:val="21"/>
          <w:szCs w:val="21"/>
        </w:rPr>
        <w:t xml:space="preserve"> green manuring</w:t>
      </w:r>
    </w:p>
    <w:p w14:paraId="4F41ABD3" w14:textId="4D033D9F" w:rsidR="00F033C9" w:rsidRPr="003670DB" w:rsidRDefault="00F033C9" w:rsidP="00464232">
      <w:pPr>
        <w:ind w:firstLine="720"/>
        <w:jc w:val="both"/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</w:pP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lastRenderedPageBreak/>
        <w:t xml:space="preserve">Thus, </w:t>
      </w:r>
      <w:bookmarkStart w:id="0" w:name="_GoBack"/>
      <w:bookmarkEnd w:id="0"/>
      <w:r w:rsidR="00E10A60"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the 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>cropping system</w:t>
      </w:r>
      <w:r w:rsidR="00E10A60"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>s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 have important role in influencing the productivity of the component crops. Overall, the organic production of basmati can be sustained by diversifying the cropping system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>s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 and adopting th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>e</w:t>
      </w:r>
      <w:r w:rsidRPr="003670DB">
        <w:rPr>
          <w:rFonts w:ascii="Times New Roman" w:hAnsi="Times New Roman" w:cs="Times New Roman"/>
          <w:noProof/>
          <w:sz w:val="21"/>
          <w:szCs w:val="21"/>
          <w:lang w:val="en-IN" w:eastAsia="en-IN" w:bidi="hi-IN"/>
        </w:rPr>
        <w:t xml:space="preserve"> efficient nutrient management practices. Such practices also enhance and sustain the soil fertility and profitability as well.</w:t>
      </w:r>
    </w:p>
    <w:p w14:paraId="6B9A70B7" w14:textId="77777777" w:rsidR="00F033C9" w:rsidRPr="003670DB" w:rsidRDefault="00F033C9" w:rsidP="004B2D7A">
      <w:pPr>
        <w:rPr>
          <w:rFonts w:ascii="Times New Roman" w:eastAsia="MS Mincho" w:hAnsi="Times New Roman" w:cs="Times New Roman"/>
          <w:b/>
          <w:bCs/>
          <w:sz w:val="21"/>
          <w:szCs w:val="21"/>
        </w:rPr>
      </w:pPr>
    </w:p>
    <w:p w14:paraId="0E0C2F28" w14:textId="22FE6952" w:rsidR="00074ED9" w:rsidRPr="003670DB" w:rsidRDefault="001966E1" w:rsidP="00F033C9">
      <w:pPr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</w:pPr>
      <w:r w:rsidRPr="003670DB">
        <w:rPr>
          <w:rFonts w:ascii="Times New Roman" w:eastAsia="MS Mincho" w:hAnsi="Times New Roman" w:cs="Times New Roman"/>
          <w:b/>
          <w:bCs/>
          <w:sz w:val="21"/>
          <w:szCs w:val="21"/>
        </w:rPr>
        <w:t>Key words:</w:t>
      </w:r>
      <w:r w:rsidRPr="003670DB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r w:rsidR="00F033C9" w:rsidRPr="003670DB">
        <w:rPr>
          <w:rFonts w:ascii="Times New Roman" w:eastAsia="MS Mincho" w:hAnsi="Times New Roman" w:cs="Times New Roman"/>
          <w:sz w:val="21"/>
          <w:szCs w:val="21"/>
        </w:rPr>
        <w:t>b</w:t>
      </w:r>
      <w:r w:rsidR="004B2D7A" w:rsidRPr="003670DB">
        <w:rPr>
          <w:rFonts w:ascii="Times New Roman" w:eastAsia="MS Mincho" w:hAnsi="Times New Roman" w:cs="Times New Roman"/>
          <w:sz w:val="21"/>
          <w:szCs w:val="21"/>
        </w:rPr>
        <w:t xml:space="preserve">asmati rice, </w:t>
      </w:r>
      <w:r w:rsidR="00F033C9" w:rsidRPr="003670DB">
        <w:rPr>
          <w:rFonts w:ascii="Times New Roman" w:eastAsia="MS Mincho" w:hAnsi="Times New Roman" w:cs="Times New Roman"/>
          <w:sz w:val="21"/>
          <w:szCs w:val="21"/>
        </w:rPr>
        <w:t>f</w:t>
      </w:r>
      <w:r w:rsidR="004B2D7A" w:rsidRPr="003670DB">
        <w:rPr>
          <w:rFonts w:ascii="Times New Roman" w:eastAsia="MS Mincho" w:hAnsi="Times New Roman" w:cs="Times New Roman"/>
          <w:sz w:val="21"/>
          <w:szCs w:val="21"/>
        </w:rPr>
        <w:t>armyard manure</w:t>
      </w:r>
      <w:r w:rsidR="004B2D7A" w:rsidRPr="003670DB">
        <w:rPr>
          <w:rFonts w:ascii="Times New Roman" w:eastAsia="MS Mincho" w:hAnsi="Times New Roman" w:cs="Times New Roman"/>
          <w:sz w:val="21"/>
          <w:szCs w:val="21"/>
        </w:rPr>
        <w:t>,</w:t>
      </w:r>
      <w:r w:rsidR="004B2D7A" w:rsidRPr="003670DB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r w:rsidR="00F033C9" w:rsidRPr="003670DB">
        <w:rPr>
          <w:rFonts w:ascii="Times New Roman" w:eastAsia="MS Mincho" w:hAnsi="Times New Roman" w:cs="Times New Roman"/>
          <w:sz w:val="21"/>
          <w:szCs w:val="21"/>
        </w:rPr>
        <w:t>g</w:t>
      </w:r>
      <w:r w:rsidR="004B2D7A" w:rsidRPr="003670DB">
        <w:rPr>
          <w:rFonts w:ascii="Times New Roman" w:eastAsia="MS Mincho" w:hAnsi="Times New Roman" w:cs="Times New Roman"/>
          <w:sz w:val="21"/>
          <w:szCs w:val="21"/>
        </w:rPr>
        <w:t xml:space="preserve">reen manuring, </w:t>
      </w:r>
      <w:r w:rsidR="00F033C9" w:rsidRPr="003670DB">
        <w:rPr>
          <w:rFonts w:ascii="Times New Roman" w:eastAsia="MS Mincho" w:hAnsi="Times New Roman" w:cs="Times New Roman"/>
          <w:sz w:val="21"/>
          <w:szCs w:val="21"/>
        </w:rPr>
        <w:t>o</w:t>
      </w:r>
      <w:r w:rsidR="00F033C9" w:rsidRPr="003670DB">
        <w:rPr>
          <w:rFonts w:ascii="Times New Roman" w:eastAsia="MS Mincho" w:hAnsi="Times New Roman" w:cs="Times New Roman"/>
          <w:sz w:val="21"/>
          <w:szCs w:val="21"/>
        </w:rPr>
        <w:t xml:space="preserve">rganic </w:t>
      </w:r>
      <w:r w:rsidR="00F033C9" w:rsidRPr="003670DB">
        <w:rPr>
          <w:rFonts w:ascii="Times New Roman" w:eastAsia="MS Mincho" w:hAnsi="Times New Roman" w:cs="Times New Roman"/>
          <w:sz w:val="21"/>
          <w:szCs w:val="21"/>
        </w:rPr>
        <w:t>production, v</w:t>
      </w:r>
      <w:r w:rsidR="004B2D7A" w:rsidRPr="003670DB">
        <w:rPr>
          <w:rFonts w:ascii="Times New Roman" w:eastAsia="MS Mincho" w:hAnsi="Times New Roman" w:cs="Times New Roman"/>
          <w:sz w:val="21"/>
          <w:szCs w:val="21"/>
        </w:rPr>
        <w:t>ermicompost</w:t>
      </w:r>
    </w:p>
    <w:p w14:paraId="18CF9EBC" w14:textId="3C0597B1" w:rsidR="006F0282" w:rsidRPr="003670DB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</w:pPr>
      <w:r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Co-responding author:</w:t>
      </w:r>
      <w:r w:rsidR="00074ED9" w:rsidRPr="003670DB">
        <w:rPr>
          <w:rFonts w:eastAsia="MS Mincho"/>
          <w:sz w:val="21"/>
          <w:szCs w:val="21"/>
        </w:rPr>
        <w:t xml:space="preserve"> </w:t>
      </w:r>
      <w:r w:rsidR="004B2D7A" w:rsidRPr="003670DB">
        <w:rPr>
          <w:rFonts w:eastAsia="MS Mincho"/>
          <w:sz w:val="21"/>
          <w:szCs w:val="21"/>
        </w:rPr>
        <w:t>Dinesh Kumar</w:t>
      </w:r>
    </w:p>
    <w:p w14:paraId="644C6094" w14:textId="6D5A675C" w:rsidR="002F2DFE" w:rsidRPr="003670DB" w:rsidRDefault="002D3B81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</w:pPr>
      <w:r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Positio</w:t>
      </w:r>
      <w:r w:rsidR="002F2DFE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n</w:t>
      </w:r>
      <w:r w:rsidR="00682D63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:</w:t>
      </w:r>
      <w:r w:rsidR="004B2D7A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 xml:space="preserve"> Principal Scientist</w:t>
      </w:r>
    </w:p>
    <w:p w14:paraId="775F3659" w14:textId="2A2BE9B6" w:rsidR="00682D63" w:rsidRPr="003670DB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</w:pPr>
      <w:r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A</w:t>
      </w:r>
      <w:r w:rsidR="002D3B81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ffiliations</w:t>
      </w:r>
      <w:r w:rsidR="004B2D7A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: Division of Agronomy, ICAR-Indian Agricultural Research Institute, New Delhi</w:t>
      </w:r>
      <w:r w:rsidR="002D3B81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 xml:space="preserve"> </w:t>
      </w:r>
    </w:p>
    <w:p w14:paraId="736D5707" w14:textId="0E84276F" w:rsidR="006F0282" w:rsidRPr="003670DB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</w:pPr>
      <w:r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Country:</w:t>
      </w:r>
      <w:r w:rsidR="004B2D7A"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 xml:space="preserve"> India</w:t>
      </w:r>
    </w:p>
    <w:p w14:paraId="244AF6B6" w14:textId="20882A14" w:rsidR="00682D63" w:rsidRPr="003670DB" w:rsidRDefault="004B2D7A" w:rsidP="00E10A60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MS Mincho" w:hAnsi="Times New Roman" w:cs="Times New Roman"/>
          <w:b w:val="0"/>
          <w:sz w:val="21"/>
          <w:szCs w:val="21"/>
          <w:lang w:val="fr-FR" w:eastAsia="ja-JP"/>
        </w:rPr>
      </w:pPr>
      <w:r w:rsidRPr="003670DB">
        <w:rPr>
          <w:rStyle w:val="cf01"/>
          <w:rFonts w:ascii="Times New Roman" w:eastAsia="MS Mincho" w:hAnsi="Times New Roman" w:cs="Times New Roman"/>
          <w:b w:val="0"/>
          <w:bCs w:val="0"/>
          <w:sz w:val="21"/>
          <w:szCs w:val="21"/>
          <w:lang w:eastAsia="ja-JP"/>
        </w:rPr>
        <w:t>E-mail: dineshctt@yahoo.com</w:t>
      </w:r>
    </w:p>
    <w:sectPr w:rsidR="00682D63" w:rsidRPr="003670DB" w:rsidSect="00464232">
      <w:headerReference w:type="default" r:id="rId9"/>
      <w:footerReference w:type="even" r:id="rId10"/>
      <w:footerReference w:type="default" r:id="rId11"/>
      <w:pgSz w:w="11906" w:h="16838" w:code="9"/>
      <w:pgMar w:top="265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696E" w14:textId="77777777" w:rsidR="00903360" w:rsidRDefault="00903360" w:rsidP="001E6F61">
      <w:r>
        <w:separator/>
      </w:r>
    </w:p>
  </w:endnote>
  <w:endnote w:type="continuationSeparator" w:id="0">
    <w:p w14:paraId="109AAC54" w14:textId="77777777" w:rsidR="00903360" w:rsidRDefault="00903360" w:rsidP="001E6F61">
      <w:r>
        <w:continuationSeparator/>
      </w:r>
    </w:p>
  </w:endnote>
  <w:endnote w:type="continuationNotice" w:id="1">
    <w:p w14:paraId="46098BE4" w14:textId="77777777" w:rsidR="00903360" w:rsidRDefault="00903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854369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F99EA4" w14:textId="25A6A2A7" w:rsidR="0062385E" w:rsidRDefault="0062385E" w:rsidP="00E353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94F7F8" w14:textId="77777777" w:rsidR="0062385E" w:rsidRDefault="0062385E" w:rsidP="00623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66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F26F7" w14:textId="229AD957" w:rsidR="00464232" w:rsidRDefault="004642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0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290787" w14:textId="77777777" w:rsidR="0062385E" w:rsidRPr="0062385E" w:rsidRDefault="0062385E" w:rsidP="0062385E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0E09" w14:textId="77777777" w:rsidR="00903360" w:rsidRDefault="00903360" w:rsidP="001E6F61">
      <w:r>
        <w:separator/>
      </w:r>
    </w:p>
  </w:footnote>
  <w:footnote w:type="continuationSeparator" w:id="0">
    <w:p w14:paraId="065E6689" w14:textId="77777777" w:rsidR="00903360" w:rsidRDefault="00903360" w:rsidP="001E6F61">
      <w:r>
        <w:continuationSeparator/>
      </w:r>
    </w:p>
  </w:footnote>
  <w:footnote w:type="continuationNotice" w:id="1">
    <w:p w14:paraId="31A7186E" w14:textId="77777777" w:rsidR="00903360" w:rsidRDefault="009033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D75F5" w14:textId="77777777" w:rsidR="00074ED9" w:rsidRPr="00350917" w:rsidRDefault="00074ED9" w:rsidP="00074ED9">
    <w:pPr>
      <w:spacing w:line="440" w:lineRule="exact"/>
      <w:rPr>
        <w:rFonts w:ascii="Times New Roman" w:hAnsi="Times New Roman" w:cs="Times New Roman"/>
        <w:color w:val="476E2E"/>
      </w:rPr>
    </w:pPr>
    <w:r w:rsidRPr="00350917">
      <w:rPr>
        <w:rFonts w:ascii="Times New Roman" w:hAnsi="Times New Roman" w:cs="Times New Roman"/>
        <w:color w:val="476E2E"/>
      </w:rPr>
      <w:t>4</w:t>
    </w:r>
    <w:r w:rsidRPr="00350917">
      <w:rPr>
        <w:rFonts w:ascii="Times New Roman" w:hAnsi="Times New Roman" w:cs="Times New Roman"/>
        <w:color w:val="476E2E"/>
        <w:vertAlign w:val="superscript"/>
      </w:rPr>
      <w:t>th</w:t>
    </w:r>
    <w:r w:rsidRPr="00350917">
      <w:rPr>
        <w:rFonts w:ascii="Times New Roman" w:hAnsi="Times New Roman" w:cs="Times New Roman"/>
        <w:color w:val="476E2E"/>
      </w:rPr>
      <w:t xml:space="preserve"> International Conference</w:t>
    </w:r>
    <w:r w:rsidRPr="00350917">
      <w:rPr>
        <w:rFonts w:ascii="Times New Roman" w:hAnsi="Times New Roman" w:cs="Times New Roman"/>
        <w:color w:val="476E2E"/>
      </w:rPr>
      <w:br/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t>Organic Rice Farming and Production Systems</w:t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br/>
    </w:r>
    <w:r w:rsidRPr="00350917">
      <w:rPr>
        <w:rFonts w:ascii="Times New Roman" w:hAnsi="Times New Roman" w:cs="Times New Roman"/>
        <w:color w:val="476E2E"/>
      </w:rPr>
      <w:t>Sendai, Japan</w:t>
    </w:r>
  </w:p>
  <w:p w14:paraId="30A33104" w14:textId="77777777" w:rsidR="00074ED9" w:rsidRPr="00350917" w:rsidRDefault="00074ED9" w:rsidP="00074ED9">
    <w:pPr>
      <w:spacing w:line="320" w:lineRule="exact"/>
      <w:rPr>
        <w:rFonts w:ascii="Times New Roman" w:hAnsi="Times New Roman" w:cs="Times New Roman"/>
        <w:color w:val="476E2E"/>
      </w:rPr>
    </w:pPr>
    <w:r>
      <w:rPr>
        <w:rFonts w:ascii="Times New Roman" w:hAnsi="Times New Roman" w:cs="Times New Roman"/>
        <w:color w:val="476E2E"/>
      </w:rPr>
      <w:t xml:space="preserve">4 – 7 </w:t>
    </w:r>
    <w:r w:rsidRPr="00350917">
      <w:rPr>
        <w:rFonts w:ascii="Times New Roman" w:hAnsi="Times New Roman" w:cs="Times New Roman"/>
        <w:color w:val="476E2E"/>
      </w:rPr>
      <w:t>September 2023</w:t>
    </w:r>
  </w:p>
  <w:p w14:paraId="5728A65D" w14:textId="1380A1C1" w:rsidR="001E6F61" w:rsidRPr="001E6F61" w:rsidRDefault="001E6F61" w:rsidP="001E6F61">
    <w:pPr>
      <w:pStyle w:val="Header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965"/>
    <w:multiLevelType w:val="hybridMultilevel"/>
    <w:tmpl w:val="965CB640"/>
    <w:lvl w:ilvl="0" w:tplc="040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72"/>
    <w:multiLevelType w:val="hybridMultilevel"/>
    <w:tmpl w:val="AAE8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90F5A"/>
    <w:multiLevelType w:val="hybridMultilevel"/>
    <w:tmpl w:val="0BE6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874"/>
    <w:multiLevelType w:val="hybridMultilevel"/>
    <w:tmpl w:val="6DB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DQzMDEyNTU2MTRQ0lEKTi0uzszPAykwrwUAtxp62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z5f05r9s5s2fe2ft1x0z9kvexx5tpaar9z&quot;&gt;Final-Saved-Converted&lt;record-ids&gt;&lt;item&gt;3791&lt;/item&gt;&lt;item&gt;3795&lt;/item&gt;&lt;/record-ids&gt;&lt;/item&gt;&lt;/Libraries&gt;"/>
  </w:docVars>
  <w:rsids>
    <w:rsidRoot w:val="006213CE"/>
    <w:rsid w:val="00014F23"/>
    <w:rsid w:val="00017EDC"/>
    <w:rsid w:val="00023E73"/>
    <w:rsid w:val="0004080F"/>
    <w:rsid w:val="00041C67"/>
    <w:rsid w:val="000421F8"/>
    <w:rsid w:val="000532E7"/>
    <w:rsid w:val="00072CEC"/>
    <w:rsid w:val="00074ED9"/>
    <w:rsid w:val="00083122"/>
    <w:rsid w:val="00095C9A"/>
    <w:rsid w:val="000A65DE"/>
    <w:rsid w:val="000C6ECB"/>
    <w:rsid w:val="000D3B00"/>
    <w:rsid w:val="001105FC"/>
    <w:rsid w:val="001130F8"/>
    <w:rsid w:val="00125A08"/>
    <w:rsid w:val="00144E86"/>
    <w:rsid w:val="001454D7"/>
    <w:rsid w:val="001820DC"/>
    <w:rsid w:val="001966E1"/>
    <w:rsid w:val="001B5818"/>
    <w:rsid w:val="001B62E0"/>
    <w:rsid w:val="001E6F61"/>
    <w:rsid w:val="001F23E1"/>
    <w:rsid w:val="001F3725"/>
    <w:rsid w:val="001F6B59"/>
    <w:rsid w:val="0020394A"/>
    <w:rsid w:val="00234FAE"/>
    <w:rsid w:val="00242FEE"/>
    <w:rsid w:val="00261031"/>
    <w:rsid w:val="00270798"/>
    <w:rsid w:val="00277D14"/>
    <w:rsid w:val="002B6301"/>
    <w:rsid w:val="002D3B81"/>
    <w:rsid w:val="002E0227"/>
    <w:rsid w:val="002F1F3F"/>
    <w:rsid w:val="002F2DFE"/>
    <w:rsid w:val="002F418B"/>
    <w:rsid w:val="002F4EB3"/>
    <w:rsid w:val="00323198"/>
    <w:rsid w:val="00333D75"/>
    <w:rsid w:val="00345491"/>
    <w:rsid w:val="003515B8"/>
    <w:rsid w:val="003532EB"/>
    <w:rsid w:val="003626F0"/>
    <w:rsid w:val="003670DB"/>
    <w:rsid w:val="003712A4"/>
    <w:rsid w:val="00382D98"/>
    <w:rsid w:val="003943A3"/>
    <w:rsid w:val="003B26EF"/>
    <w:rsid w:val="003C605B"/>
    <w:rsid w:val="003D297B"/>
    <w:rsid w:val="003E2E43"/>
    <w:rsid w:val="0042052E"/>
    <w:rsid w:val="00426D22"/>
    <w:rsid w:val="004279BF"/>
    <w:rsid w:val="00435AB6"/>
    <w:rsid w:val="0044477D"/>
    <w:rsid w:val="00447A0B"/>
    <w:rsid w:val="00464232"/>
    <w:rsid w:val="00470378"/>
    <w:rsid w:val="00482EDC"/>
    <w:rsid w:val="00483670"/>
    <w:rsid w:val="0048636D"/>
    <w:rsid w:val="00487473"/>
    <w:rsid w:val="00495D3C"/>
    <w:rsid w:val="004A4665"/>
    <w:rsid w:val="004B2D7A"/>
    <w:rsid w:val="004C0E52"/>
    <w:rsid w:val="004D1E7D"/>
    <w:rsid w:val="004E3CB5"/>
    <w:rsid w:val="004E70CC"/>
    <w:rsid w:val="004F759D"/>
    <w:rsid w:val="005072AD"/>
    <w:rsid w:val="005218F6"/>
    <w:rsid w:val="00565071"/>
    <w:rsid w:val="00583109"/>
    <w:rsid w:val="00594424"/>
    <w:rsid w:val="00595A73"/>
    <w:rsid w:val="005B2AF9"/>
    <w:rsid w:val="005B6F42"/>
    <w:rsid w:val="005E51A5"/>
    <w:rsid w:val="005F7D58"/>
    <w:rsid w:val="006213CE"/>
    <w:rsid w:val="0062385E"/>
    <w:rsid w:val="00626095"/>
    <w:rsid w:val="00626B64"/>
    <w:rsid w:val="00636BF4"/>
    <w:rsid w:val="00641DF8"/>
    <w:rsid w:val="0066126F"/>
    <w:rsid w:val="00682CF2"/>
    <w:rsid w:val="00682D63"/>
    <w:rsid w:val="006962DF"/>
    <w:rsid w:val="00697E4D"/>
    <w:rsid w:val="006A68BA"/>
    <w:rsid w:val="006E0AA5"/>
    <w:rsid w:val="006F0282"/>
    <w:rsid w:val="006F745A"/>
    <w:rsid w:val="00705854"/>
    <w:rsid w:val="007104ED"/>
    <w:rsid w:val="00720958"/>
    <w:rsid w:val="00723D8F"/>
    <w:rsid w:val="007256AC"/>
    <w:rsid w:val="00737AA3"/>
    <w:rsid w:val="00740D8B"/>
    <w:rsid w:val="00743EE9"/>
    <w:rsid w:val="0074569D"/>
    <w:rsid w:val="0075023F"/>
    <w:rsid w:val="00761C12"/>
    <w:rsid w:val="0076787A"/>
    <w:rsid w:val="00774A36"/>
    <w:rsid w:val="007774F4"/>
    <w:rsid w:val="00781FBD"/>
    <w:rsid w:val="00790508"/>
    <w:rsid w:val="00792155"/>
    <w:rsid w:val="007D0AE1"/>
    <w:rsid w:val="007D23C6"/>
    <w:rsid w:val="007D6DC7"/>
    <w:rsid w:val="007F4520"/>
    <w:rsid w:val="008074C5"/>
    <w:rsid w:val="00812AF6"/>
    <w:rsid w:val="00816032"/>
    <w:rsid w:val="008265C6"/>
    <w:rsid w:val="00857DDC"/>
    <w:rsid w:val="00860A12"/>
    <w:rsid w:val="00863F38"/>
    <w:rsid w:val="00865A84"/>
    <w:rsid w:val="0087279B"/>
    <w:rsid w:val="00877DA2"/>
    <w:rsid w:val="0088227F"/>
    <w:rsid w:val="0088642A"/>
    <w:rsid w:val="008927E6"/>
    <w:rsid w:val="00893441"/>
    <w:rsid w:val="008C0FAB"/>
    <w:rsid w:val="008C3BC7"/>
    <w:rsid w:val="008E0FD8"/>
    <w:rsid w:val="008F0960"/>
    <w:rsid w:val="008F103F"/>
    <w:rsid w:val="00903360"/>
    <w:rsid w:val="00924CBA"/>
    <w:rsid w:val="009307C0"/>
    <w:rsid w:val="0093428D"/>
    <w:rsid w:val="00934FD8"/>
    <w:rsid w:val="00946CDB"/>
    <w:rsid w:val="00993166"/>
    <w:rsid w:val="00996AA6"/>
    <w:rsid w:val="009C1B57"/>
    <w:rsid w:val="009E5CAE"/>
    <w:rsid w:val="009F3F6F"/>
    <w:rsid w:val="009F58E6"/>
    <w:rsid w:val="00A01BD2"/>
    <w:rsid w:val="00A248F2"/>
    <w:rsid w:val="00A47E0E"/>
    <w:rsid w:val="00A511FC"/>
    <w:rsid w:val="00A57A09"/>
    <w:rsid w:val="00A709CF"/>
    <w:rsid w:val="00A72441"/>
    <w:rsid w:val="00A75ADA"/>
    <w:rsid w:val="00A94FF4"/>
    <w:rsid w:val="00AB495E"/>
    <w:rsid w:val="00AD10E5"/>
    <w:rsid w:val="00AD3E75"/>
    <w:rsid w:val="00B06575"/>
    <w:rsid w:val="00B149C2"/>
    <w:rsid w:val="00B22899"/>
    <w:rsid w:val="00B5407A"/>
    <w:rsid w:val="00B56D7B"/>
    <w:rsid w:val="00B73013"/>
    <w:rsid w:val="00B803BC"/>
    <w:rsid w:val="00BA0382"/>
    <w:rsid w:val="00BA361A"/>
    <w:rsid w:val="00BA552A"/>
    <w:rsid w:val="00BB44E2"/>
    <w:rsid w:val="00BC7559"/>
    <w:rsid w:val="00BD01E4"/>
    <w:rsid w:val="00BE4C3A"/>
    <w:rsid w:val="00BE6668"/>
    <w:rsid w:val="00C02618"/>
    <w:rsid w:val="00C262DE"/>
    <w:rsid w:val="00C65830"/>
    <w:rsid w:val="00C72F4C"/>
    <w:rsid w:val="00C746C7"/>
    <w:rsid w:val="00C80ADB"/>
    <w:rsid w:val="00C830EA"/>
    <w:rsid w:val="00CA12D1"/>
    <w:rsid w:val="00CA7320"/>
    <w:rsid w:val="00CB62D6"/>
    <w:rsid w:val="00CC3C02"/>
    <w:rsid w:val="00CC53DD"/>
    <w:rsid w:val="00CD2910"/>
    <w:rsid w:val="00CD2E96"/>
    <w:rsid w:val="00CD5696"/>
    <w:rsid w:val="00CF0766"/>
    <w:rsid w:val="00D115AF"/>
    <w:rsid w:val="00D30135"/>
    <w:rsid w:val="00D37EE5"/>
    <w:rsid w:val="00D63610"/>
    <w:rsid w:val="00D74219"/>
    <w:rsid w:val="00D75909"/>
    <w:rsid w:val="00D949C2"/>
    <w:rsid w:val="00DD3443"/>
    <w:rsid w:val="00DD5DE4"/>
    <w:rsid w:val="00DF01E6"/>
    <w:rsid w:val="00DF2AFA"/>
    <w:rsid w:val="00DF5ED4"/>
    <w:rsid w:val="00DF63D4"/>
    <w:rsid w:val="00E10A60"/>
    <w:rsid w:val="00E2156D"/>
    <w:rsid w:val="00E316C8"/>
    <w:rsid w:val="00E32839"/>
    <w:rsid w:val="00E4687F"/>
    <w:rsid w:val="00E51BB4"/>
    <w:rsid w:val="00E51DED"/>
    <w:rsid w:val="00E6780C"/>
    <w:rsid w:val="00E72B60"/>
    <w:rsid w:val="00E9016E"/>
    <w:rsid w:val="00E91660"/>
    <w:rsid w:val="00EA4D02"/>
    <w:rsid w:val="00EA54A7"/>
    <w:rsid w:val="00EB2E35"/>
    <w:rsid w:val="00EB5B51"/>
    <w:rsid w:val="00EF5FFC"/>
    <w:rsid w:val="00F033C9"/>
    <w:rsid w:val="00F2263D"/>
    <w:rsid w:val="00F274EE"/>
    <w:rsid w:val="00F3164D"/>
    <w:rsid w:val="00F422D7"/>
    <w:rsid w:val="00F532C4"/>
    <w:rsid w:val="00F60845"/>
    <w:rsid w:val="00F64B99"/>
    <w:rsid w:val="00F8760B"/>
    <w:rsid w:val="00F957F7"/>
    <w:rsid w:val="00FA4040"/>
    <w:rsid w:val="00FA5305"/>
    <w:rsid w:val="00FB256D"/>
    <w:rsid w:val="00FF1064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5CE62"/>
  <w15:chartTrackingRefBased/>
  <w15:docId w15:val="{1DD14F35-F2AB-684D-8357-8FE6AA6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F61"/>
  </w:style>
  <w:style w:type="paragraph" w:styleId="Footer">
    <w:name w:val="footer"/>
    <w:basedOn w:val="Normal"/>
    <w:link w:val="FooterChar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61"/>
  </w:style>
  <w:style w:type="character" w:styleId="PageNumber">
    <w:name w:val="page number"/>
    <w:basedOn w:val="DefaultParagraphFont"/>
    <w:uiPriority w:val="99"/>
    <w:semiHidden/>
    <w:unhideWhenUsed/>
    <w:rsid w:val="0062385E"/>
  </w:style>
  <w:style w:type="character" w:styleId="CommentReference">
    <w:name w:val="annotation reference"/>
    <w:basedOn w:val="DefaultParagraphFont"/>
    <w:uiPriority w:val="99"/>
    <w:semiHidden/>
    <w:unhideWhenUsed/>
    <w:rsid w:val="0062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1C1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5023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023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5023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023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46CD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CD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CDB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CD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CDB"/>
    <w:rPr>
      <w:vertAlign w:val="superscript"/>
    </w:rPr>
  </w:style>
  <w:style w:type="paragraph" w:styleId="Revision">
    <w:name w:val="Revision"/>
    <w:hidden/>
    <w:uiPriority w:val="99"/>
    <w:semiHidden/>
    <w:rsid w:val="00565071"/>
  </w:style>
  <w:style w:type="paragraph" w:customStyle="1" w:styleId="pf0">
    <w:name w:val="pf0"/>
    <w:basedOn w:val="Normal"/>
    <w:rsid w:val="00BB4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BB44E2"/>
    <w:rPr>
      <w:rFonts w:ascii="Segoe UI" w:hAnsi="Segoe UI" w:cs="Segoe UI" w:hint="default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E7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E51BB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51B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IN" sz="1050" b="1"/>
              <a:t>Fig.1</a:t>
            </a:r>
            <a:r>
              <a:rPr lang="en-IN" sz="1050"/>
              <a:t> </a:t>
            </a:r>
            <a:r>
              <a:rPr lang="en-US" sz="1050"/>
              <a:t>Mean grain yield (t/ha) of organically-grown basmati rice across the nutrient management options in two different cropping systems</a:t>
            </a:r>
            <a:endParaRPr lang="en-IN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Rice-Wheat-Mungbean Cropping System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Mean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4.46</c:v>
                </c:pt>
                <c:pt idx="1">
                  <c:v>4.88</c:v>
                </c:pt>
                <c:pt idx="2">
                  <c:v>4.6900000000000004</c:v>
                </c:pt>
                <c:pt idx="3">
                  <c:v>4.6100000000000003</c:v>
                </c:pt>
                <c:pt idx="4">
                  <c:v>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F-4C53-B6D4-8762C1E3F34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Rice-Wheat-SGM* Cropping System 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Mean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5.15</c:v>
                </c:pt>
                <c:pt idx="1">
                  <c:v>5.25</c:v>
                </c:pt>
                <c:pt idx="2">
                  <c:v>4.8499999999999996</c:v>
                </c:pt>
                <c:pt idx="3">
                  <c:v>4.7</c:v>
                </c:pt>
                <c:pt idx="4">
                  <c:v>4.99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F-4C53-B6D4-8762C1E3F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991056"/>
        <c:axId val="1831985648"/>
      </c:barChart>
      <c:catAx>
        <c:axId val="183199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31985648"/>
        <c:crosses val="autoZero"/>
        <c:auto val="1"/>
        <c:lblAlgn val="ctr"/>
        <c:lblOffset val="100"/>
        <c:noMultiLvlLbl val="0"/>
      </c:catAx>
      <c:valAx>
        <c:axId val="183198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3199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8672882994888802"/>
          <c:w val="1"/>
          <c:h val="0.112027265248560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2DD1-657B-47A9-B5FD-47CA79E5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Dinesh Kumar</cp:lastModifiedBy>
  <cp:revision>26</cp:revision>
  <cp:lastPrinted>2023-06-16T08:33:00Z</cp:lastPrinted>
  <dcterms:created xsi:type="dcterms:W3CDTF">2023-06-14T11:49:00Z</dcterms:created>
  <dcterms:modified xsi:type="dcterms:W3CDTF">2023-06-16T08:39:00Z</dcterms:modified>
</cp:coreProperties>
</file>